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6B28E" w14:textId="77777777" w:rsidR="00823CFE" w:rsidRDefault="0073248A" w:rsidP="00F72869">
      <w:pPr>
        <w:ind w:hanging="709"/>
        <w:rPr>
          <w:rFonts w:ascii="MS Reference Sans Serif" w:hAnsi="MS Reference Sans Serif"/>
          <w:b/>
          <w:sz w:val="28"/>
          <w:szCs w:val="28"/>
        </w:rPr>
      </w:pPr>
      <w:r>
        <w:rPr>
          <w:b/>
          <w:noProof/>
          <w:spacing w:val="-5"/>
          <w:szCs w:val="16"/>
          <w:lang w:val="en-US" w:eastAsia="en-US"/>
        </w:rPr>
        <w:drawing>
          <wp:inline distT="0" distB="0" distL="0" distR="0" wp14:anchorId="701BE13B" wp14:editId="789C7C95">
            <wp:extent cx="1400175" cy="590550"/>
            <wp:effectExtent l="19050" t="0" r="9525" b="0"/>
            <wp:docPr id="1" name="Picture 1" descr="ElectraLink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aLink New Logo"/>
                    <pic:cNvPicPr>
                      <a:picLocks noChangeAspect="1" noChangeArrowheads="1"/>
                    </pic:cNvPicPr>
                  </pic:nvPicPr>
                  <pic:blipFill>
                    <a:blip r:embed="rId8"/>
                    <a:srcRect/>
                    <a:stretch>
                      <a:fillRect/>
                    </a:stretch>
                  </pic:blipFill>
                  <pic:spPr bwMode="auto">
                    <a:xfrm>
                      <a:off x="0" y="0"/>
                      <a:ext cx="1400175" cy="590550"/>
                    </a:xfrm>
                    <a:prstGeom prst="rect">
                      <a:avLst/>
                    </a:prstGeom>
                    <a:noFill/>
                    <a:ln w="9525">
                      <a:noFill/>
                      <a:miter lim="800000"/>
                      <a:headEnd/>
                      <a:tailEnd/>
                    </a:ln>
                  </pic:spPr>
                </pic:pic>
              </a:graphicData>
            </a:graphic>
          </wp:inline>
        </w:drawing>
      </w:r>
    </w:p>
    <w:p w14:paraId="109CC668" w14:textId="77777777" w:rsidR="00823CFE" w:rsidRDefault="00823CFE" w:rsidP="00F72869">
      <w:pPr>
        <w:ind w:hanging="709"/>
        <w:rPr>
          <w:rFonts w:ascii="MS Reference Sans Serif" w:hAnsi="MS Reference Sans Serif"/>
          <w:b/>
          <w:sz w:val="28"/>
          <w:szCs w:val="28"/>
        </w:rPr>
      </w:pPr>
    </w:p>
    <w:p w14:paraId="69744EEF" w14:textId="77777777" w:rsidR="00823CFE" w:rsidRDefault="00823CFE" w:rsidP="00F72869">
      <w:pPr>
        <w:ind w:hanging="709"/>
        <w:rPr>
          <w:rFonts w:ascii="Calibri" w:hAnsi="Calibri"/>
        </w:rPr>
      </w:pPr>
      <w:r w:rsidRPr="00F72869">
        <w:rPr>
          <w:rFonts w:ascii="Calibri" w:hAnsi="Calibri"/>
          <w:b/>
        </w:rPr>
        <w:t>DCMF MIG Issues Form</w:t>
      </w:r>
      <w:r>
        <w:rPr>
          <w:rFonts w:ascii="Calibri" w:hAnsi="Calibri"/>
          <w:b/>
        </w:rPr>
        <w:t xml:space="preserve">  </w:t>
      </w:r>
      <w:proofErr w:type="gramStart"/>
      <w:r>
        <w:rPr>
          <w:rFonts w:ascii="Calibri" w:hAnsi="Calibri"/>
          <w:b/>
        </w:rPr>
        <w:t xml:space="preserve">-  </w:t>
      </w:r>
      <w:r w:rsidRPr="00F72869">
        <w:rPr>
          <w:rFonts w:ascii="Calibri" w:hAnsi="Calibri"/>
        </w:rPr>
        <w:t>The</w:t>
      </w:r>
      <w:proofErr w:type="gramEnd"/>
      <w:r w:rsidRPr="00F72869">
        <w:rPr>
          <w:rFonts w:ascii="Calibri" w:hAnsi="Calibri"/>
        </w:rPr>
        <w:t xml:space="preserve"> completed form should be issued to </w:t>
      </w:r>
      <w:hyperlink r:id="rId9" w:history="1">
        <w:r w:rsidRPr="00F72869">
          <w:rPr>
            <w:rStyle w:val="Hyperlink"/>
            <w:rFonts w:ascii="Calibri" w:hAnsi="Calibri"/>
          </w:rPr>
          <w:t>DCMF@electralink.co.uk</w:t>
        </w:r>
      </w:hyperlink>
    </w:p>
    <w:p w14:paraId="2E0507C8" w14:textId="77777777" w:rsidR="00823CFE" w:rsidRPr="00F72869" w:rsidRDefault="00823CFE" w:rsidP="00F72869">
      <w:pPr>
        <w:ind w:left="-720"/>
        <w:rPr>
          <w:rFonts w:ascii="Calibri" w:hAnsi="Calibr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823CFE" w:rsidRPr="00F72869" w14:paraId="6636DFF6" w14:textId="77777777" w:rsidTr="00995BC2">
        <w:trPr>
          <w:cantSplit/>
          <w:trHeight w:val="397"/>
        </w:trPr>
        <w:tc>
          <w:tcPr>
            <w:tcW w:w="9540" w:type="dxa"/>
            <w:gridSpan w:val="2"/>
            <w:tcBorders>
              <w:top w:val="single" w:sz="24" w:space="0" w:color="808080"/>
            </w:tcBorders>
            <w:shd w:val="clear" w:color="auto" w:fill="C0C0C0"/>
            <w:vAlign w:val="center"/>
          </w:tcPr>
          <w:p w14:paraId="12085F26" w14:textId="77777777" w:rsidR="00823CFE" w:rsidRPr="00624FA0" w:rsidRDefault="00823CFE" w:rsidP="00995BC2">
            <w:pPr>
              <w:spacing w:after="120"/>
              <w:rPr>
                <w:rFonts w:ascii="Calibri" w:hAnsi="Calibri"/>
                <w:b/>
                <w:bCs/>
              </w:rPr>
            </w:pPr>
            <w:r w:rsidRPr="00624FA0">
              <w:rPr>
                <w:rFonts w:ascii="Calibri" w:hAnsi="Calibri"/>
                <w:b/>
                <w:bCs/>
                <w:sz w:val="22"/>
                <w:szCs w:val="22"/>
              </w:rPr>
              <w:t>Document Control</w:t>
            </w:r>
          </w:p>
        </w:tc>
      </w:tr>
      <w:tr w:rsidR="00823CFE" w:rsidRPr="00F72869" w14:paraId="1FF93E80" w14:textId="77777777" w:rsidTr="00995BC2">
        <w:trPr>
          <w:trHeight w:val="397"/>
        </w:trPr>
        <w:tc>
          <w:tcPr>
            <w:tcW w:w="2520" w:type="dxa"/>
            <w:vAlign w:val="bottom"/>
          </w:tcPr>
          <w:p w14:paraId="623AD22E" w14:textId="77777777" w:rsidR="00823CFE" w:rsidRPr="00624FA0" w:rsidRDefault="00823CFE" w:rsidP="00995BC2">
            <w:pPr>
              <w:spacing w:after="120"/>
              <w:rPr>
                <w:rFonts w:ascii="Calibri" w:hAnsi="Calibri"/>
              </w:rPr>
            </w:pPr>
            <w:r w:rsidRPr="00624FA0">
              <w:rPr>
                <w:rFonts w:ascii="Calibri" w:hAnsi="Calibri"/>
                <w:sz w:val="22"/>
                <w:szCs w:val="22"/>
              </w:rPr>
              <w:t>Issue Title:</w:t>
            </w:r>
          </w:p>
        </w:tc>
        <w:tc>
          <w:tcPr>
            <w:tcW w:w="7020" w:type="dxa"/>
            <w:vAlign w:val="bottom"/>
          </w:tcPr>
          <w:p w14:paraId="059E2B8C" w14:textId="69F54C51" w:rsidR="00823CFE" w:rsidRPr="004048F0" w:rsidRDefault="004048F0" w:rsidP="004048F0">
            <w:pPr>
              <w:spacing w:after="120"/>
              <w:rPr>
                <w:rFonts w:ascii="Calibri" w:hAnsi="Calibri"/>
                <w:sz w:val="22"/>
                <w:szCs w:val="22"/>
              </w:rPr>
            </w:pPr>
            <w:r w:rsidRPr="004048F0">
              <w:rPr>
                <w:rFonts w:asciiTheme="minorHAnsi" w:hAnsiTheme="minorHAnsi"/>
                <w:sz w:val="22"/>
                <w:szCs w:val="22"/>
              </w:rPr>
              <w:t>Possible r</w:t>
            </w:r>
            <w:r w:rsidR="00AB0791" w:rsidRPr="004048F0">
              <w:rPr>
                <w:rFonts w:asciiTheme="minorHAnsi" w:hAnsiTheme="minorHAnsi"/>
                <w:sz w:val="22"/>
                <w:szCs w:val="22"/>
              </w:rPr>
              <w:t xml:space="preserve">eduction </w:t>
            </w:r>
            <w:r w:rsidRPr="004048F0">
              <w:rPr>
                <w:rFonts w:asciiTheme="minorHAnsi" w:hAnsiTheme="minorHAnsi"/>
                <w:sz w:val="22"/>
                <w:szCs w:val="22"/>
              </w:rPr>
              <w:t>of</w:t>
            </w:r>
            <w:r w:rsidR="00AB0791" w:rsidRPr="004048F0">
              <w:rPr>
                <w:rFonts w:asciiTheme="minorHAnsi" w:hAnsiTheme="minorHAnsi"/>
                <w:sz w:val="22"/>
                <w:szCs w:val="22"/>
              </w:rPr>
              <w:t xml:space="preserve"> the rate of return in the CDCM</w:t>
            </w:r>
          </w:p>
        </w:tc>
      </w:tr>
      <w:tr w:rsidR="00823CFE" w:rsidRPr="00F72869" w14:paraId="7352E621" w14:textId="77777777" w:rsidTr="00995BC2">
        <w:trPr>
          <w:trHeight w:val="397"/>
        </w:trPr>
        <w:tc>
          <w:tcPr>
            <w:tcW w:w="2520" w:type="dxa"/>
            <w:vAlign w:val="bottom"/>
          </w:tcPr>
          <w:p w14:paraId="37DF8785" w14:textId="77777777" w:rsidR="00823CFE" w:rsidRPr="00624FA0" w:rsidRDefault="00823CFE" w:rsidP="00995BC2">
            <w:pPr>
              <w:spacing w:after="120"/>
              <w:rPr>
                <w:rFonts w:ascii="Calibri" w:hAnsi="Calibri"/>
              </w:rPr>
            </w:pPr>
            <w:r w:rsidRPr="00624FA0">
              <w:rPr>
                <w:rFonts w:ascii="Calibri" w:hAnsi="Calibri"/>
                <w:sz w:val="22"/>
                <w:szCs w:val="22"/>
              </w:rPr>
              <w:t>Issue Number</w:t>
            </w:r>
            <w:r w:rsidRPr="00624FA0">
              <w:rPr>
                <w:rStyle w:val="FootnoteReference"/>
                <w:rFonts w:ascii="Calibri" w:hAnsi="Calibri"/>
                <w:sz w:val="22"/>
                <w:szCs w:val="22"/>
              </w:rPr>
              <w:footnoteReference w:id="1"/>
            </w:r>
            <w:r w:rsidRPr="00624FA0">
              <w:rPr>
                <w:rFonts w:ascii="Calibri" w:hAnsi="Calibri"/>
                <w:sz w:val="22"/>
                <w:szCs w:val="22"/>
              </w:rPr>
              <w:t>:</w:t>
            </w:r>
          </w:p>
        </w:tc>
        <w:tc>
          <w:tcPr>
            <w:tcW w:w="7020" w:type="dxa"/>
            <w:vAlign w:val="bottom"/>
          </w:tcPr>
          <w:p w14:paraId="155EDD0D" w14:textId="77777777" w:rsidR="00823CFE" w:rsidRPr="004048F0" w:rsidRDefault="00823CFE" w:rsidP="00995BC2">
            <w:pPr>
              <w:spacing w:after="120"/>
              <w:rPr>
                <w:rFonts w:ascii="Calibri" w:hAnsi="Calibri"/>
                <w:sz w:val="22"/>
                <w:szCs w:val="22"/>
              </w:rPr>
            </w:pPr>
          </w:p>
        </w:tc>
      </w:tr>
      <w:tr w:rsidR="00823CFE" w:rsidRPr="00F72869" w14:paraId="5DA5B6EE" w14:textId="77777777" w:rsidTr="00995BC2">
        <w:trPr>
          <w:trHeight w:val="397"/>
        </w:trPr>
        <w:tc>
          <w:tcPr>
            <w:tcW w:w="2520" w:type="dxa"/>
            <w:vAlign w:val="bottom"/>
          </w:tcPr>
          <w:p w14:paraId="4E5378D9" w14:textId="77777777" w:rsidR="00823CFE" w:rsidRPr="00624FA0" w:rsidRDefault="00823CFE" w:rsidP="00995BC2">
            <w:pPr>
              <w:spacing w:after="120"/>
              <w:rPr>
                <w:rFonts w:ascii="Calibri" w:hAnsi="Calibri"/>
              </w:rPr>
            </w:pPr>
            <w:r w:rsidRPr="00624FA0">
              <w:rPr>
                <w:rFonts w:ascii="Calibri" w:hAnsi="Calibri"/>
                <w:sz w:val="22"/>
                <w:szCs w:val="22"/>
              </w:rPr>
              <w:t>Attachments:</w:t>
            </w:r>
          </w:p>
        </w:tc>
        <w:tc>
          <w:tcPr>
            <w:tcW w:w="7020" w:type="dxa"/>
            <w:vAlign w:val="bottom"/>
          </w:tcPr>
          <w:p w14:paraId="734FF638" w14:textId="6B3689BC" w:rsidR="00823CFE" w:rsidRPr="004048F0" w:rsidRDefault="00AB0791" w:rsidP="00F520E4">
            <w:pPr>
              <w:spacing w:after="120"/>
              <w:rPr>
                <w:rFonts w:ascii="Calibri" w:hAnsi="Calibri"/>
                <w:sz w:val="22"/>
                <w:szCs w:val="22"/>
              </w:rPr>
            </w:pPr>
            <w:r w:rsidRPr="004048F0">
              <w:rPr>
                <w:rFonts w:ascii="Calibri" w:hAnsi="Calibri"/>
                <w:sz w:val="22"/>
                <w:szCs w:val="22"/>
              </w:rPr>
              <w:t>Summary impact analysis attached; more details at http://dcmf.co.uk/cdcm-revenue-matching-february-2014-data.html</w:t>
            </w:r>
          </w:p>
        </w:tc>
      </w:tr>
      <w:tr w:rsidR="00823CFE" w:rsidRPr="00F72869" w14:paraId="1496D8E9" w14:textId="77777777" w:rsidTr="00995BC2">
        <w:trPr>
          <w:trHeight w:val="397"/>
        </w:trPr>
        <w:tc>
          <w:tcPr>
            <w:tcW w:w="2520" w:type="dxa"/>
            <w:tcBorders>
              <w:bottom w:val="single" w:sz="24" w:space="0" w:color="808080"/>
            </w:tcBorders>
            <w:vAlign w:val="bottom"/>
          </w:tcPr>
          <w:p w14:paraId="3967BA94" w14:textId="77777777" w:rsidR="00823CFE" w:rsidRPr="00624FA0" w:rsidRDefault="00823CFE" w:rsidP="00995BC2">
            <w:pPr>
              <w:spacing w:after="120"/>
              <w:rPr>
                <w:rFonts w:ascii="Calibri" w:hAnsi="Calibri"/>
              </w:rPr>
            </w:pPr>
            <w:r w:rsidRPr="00624FA0">
              <w:rPr>
                <w:rFonts w:ascii="Calibri" w:hAnsi="Calibri"/>
                <w:sz w:val="22"/>
                <w:szCs w:val="22"/>
              </w:rPr>
              <w:t>Date Submitted</w:t>
            </w:r>
          </w:p>
        </w:tc>
        <w:tc>
          <w:tcPr>
            <w:tcW w:w="7020" w:type="dxa"/>
            <w:tcBorders>
              <w:bottom w:val="single" w:sz="24" w:space="0" w:color="808080"/>
            </w:tcBorders>
            <w:vAlign w:val="bottom"/>
          </w:tcPr>
          <w:p w14:paraId="5B6D8BBE" w14:textId="75632631" w:rsidR="00823CFE" w:rsidRPr="004048F0" w:rsidRDefault="00581872" w:rsidP="00995BC2">
            <w:pPr>
              <w:spacing w:after="120"/>
              <w:rPr>
                <w:rFonts w:ascii="Calibri" w:hAnsi="Calibri"/>
                <w:sz w:val="22"/>
                <w:szCs w:val="22"/>
              </w:rPr>
            </w:pPr>
            <w:r w:rsidRPr="004048F0">
              <w:rPr>
                <w:rFonts w:ascii="Calibri" w:hAnsi="Calibri"/>
                <w:sz w:val="22"/>
                <w:szCs w:val="22"/>
              </w:rPr>
              <w:t>9 April 2014</w:t>
            </w:r>
          </w:p>
        </w:tc>
      </w:tr>
    </w:tbl>
    <w:p w14:paraId="7A0C10CC" w14:textId="77777777" w:rsidR="00823CFE" w:rsidRPr="00F72869" w:rsidRDefault="00823CFE" w:rsidP="00F72869">
      <w:pPr>
        <w:spacing w:after="120"/>
        <w:rPr>
          <w:rFonts w:ascii="Calibri" w:hAnsi="Calibri"/>
          <w:i/>
        </w:rPr>
      </w:pPr>
      <w:bookmarkStart w:id="0" w:name="_GoBack"/>
      <w:bookmarkEnd w:id="0"/>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2520"/>
        <w:gridCol w:w="7020"/>
      </w:tblGrid>
      <w:tr w:rsidR="00823CFE" w:rsidRPr="00F72869" w14:paraId="1C40700E" w14:textId="77777777" w:rsidTr="00995BC2">
        <w:trPr>
          <w:trHeight w:val="397"/>
        </w:trPr>
        <w:tc>
          <w:tcPr>
            <w:tcW w:w="9540" w:type="dxa"/>
            <w:gridSpan w:val="2"/>
            <w:tcBorders>
              <w:top w:val="single" w:sz="24" w:space="0" w:color="808080"/>
            </w:tcBorders>
            <w:shd w:val="clear" w:color="auto" w:fill="C0C0C0"/>
          </w:tcPr>
          <w:p w14:paraId="3BED5E1E" w14:textId="77777777" w:rsidR="00823CFE" w:rsidRPr="00624FA0" w:rsidRDefault="00823CFE" w:rsidP="00995BC2">
            <w:pPr>
              <w:pStyle w:val="BodyText"/>
              <w:spacing w:after="120"/>
              <w:rPr>
                <w:rFonts w:ascii="Calibri" w:hAnsi="Calibri"/>
                <w:b/>
                <w:bCs/>
                <w:szCs w:val="24"/>
              </w:rPr>
            </w:pPr>
            <w:r w:rsidRPr="00624FA0">
              <w:rPr>
                <w:rFonts w:ascii="Calibri" w:hAnsi="Calibri"/>
                <w:b/>
                <w:bCs/>
                <w:sz w:val="22"/>
                <w:szCs w:val="24"/>
              </w:rPr>
              <w:t>Originator details</w:t>
            </w:r>
          </w:p>
        </w:tc>
      </w:tr>
      <w:tr w:rsidR="00823CFE" w:rsidRPr="00F72869" w14:paraId="11CCF5A1" w14:textId="77777777" w:rsidTr="00995BC2">
        <w:trPr>
          <w:trHeight w:val="397"/>
        </w:trPr>
        <w:tc>
          <w:tcPr>
            <w:tcW w:w="2520" w:type="dxa"/>
            <w:vAlign w:val="bottom"/>
          </w:tcPr>
          <w:p w14:paraId="6F1783AD" w14:textId="77777777" w:rsidR="00823CFE" w:rsidRPr="00624FA0" w:rsidRDefault="00823CFE" w:rsidP="00995BC2">
            <w:pPr>
              <w:pStyle w:val="BodyText"/>
              <w:spacing w:after="120"/>
              <w:rPr>
                <w:rFonts w:ascii="Calibri" w:hAnsi="Calibri"/>
                <w:szCs w:val="24"/>
              </w:rPr>
            </w:pPr>
            <w:r w:rsidRPr="00624FA0">
              <w:rPr>
                <w:rFonts w:ascii="Calibri" w:hAnsi="Calibri"/>
                <w:sz w:val="22"/>
                <w:szCs w:val="24"/>
              </w:rPr>
              <w:t>Originator Name</w:t>
            </w:r>
          </w:p>
        </w:tc>
        <w:tc>
          <w:tcPr>
            <w:tcW w:w="7020" w:type="dxa"/>
            <w:vAlign w:val="bottom"/>
          </w:tcPr>
          <w:p w14:paraId="742385B2" w14:textId="77777777" w:rsidR="00823CFE" w:rsidRPr="00624FA0" w:rsidRDefault="00AB0791" w:rsidP="00995BC2">
            <w:pPr>
              <w:pStyle w:val="BodyText"/>
              <w:spacing w:after="120"/>
              <w:rPr>
                <w:rFonts w:ascii="Calibri" w:hAnsi="Calibri"/>
                <w:szCs w:val="24"/>
              </w:rPr>
            </w:pPr>
            <w:r>
              <w:rPr>
                <w:rFonts w:ascii="Calibri" w:hAnsi="Calibri"/>
                <w:szCs w:val="24"/>
              </w:rPr>
              <w:t>Franck Latrémolière</w:t>
            </w:r>
          </w:p>
        </w:tc>
      </w:tr>
      <w:tr w:rsidR="00823CFE" w:rsidRPr="00F72869" w14:paraId="7EF99485" w14:textId="77777777" w:rsidTr="00995BC2">
        <w:trPr>
          <w:trHeight w:val="397"/>
        </w:trPr>
        <w:tc>
          <w:tcPr>
            <w:tcW w:w="2520" w:type="dxa"/>
            <w:vAlign w:val="bottom"/>
          </w:tcPr>
          <w:p w14:paraId="7EF7CD9E" w14:textId="77777777" w:rsidR="00823CFE" w:rsidRPr="00624FA0" w:rsidRDefault="00823CFE" w:rsidP="00995BC2">
            <w:pPr>
              <w:pStyle w:val="BodyText"/>
              <w:spacing w:after="120"/>
              <w:rPr>
                <w:rFonts w:ascii="Calibri" w:hAnsi="Calibri"/>
                <w:szCs w:val="24"/>
              </w:rPr>
            </w:pPr>
            <w:r w:rsidRPr="00624FA0">
              <w:rPr>
                <w:rFonts w:ascii="Calibri" w:hAnsi="Calibri"/>
                <w:sz w:val="22"/>
                <w:szCs w:val="24"/>
              </w:rPr>
              <w:t>Company Name</w:t>
            </w:r>
          </w:p>
        </w:tc>
        <w:tc>
          <w:tcPr>
            <w:tcW w:w="7020" w:type="dxa"/>
            <w:vAlign w:val="bottom"/>
          </w:tcPr>
          <w:p w14:paraId="03982615" w14:textId="77777777" w:rsidR="00823CFE" w:rsidRPr="00624FA0" w:rsidRDefault="00823CFE" w:rsidP="002B72C4">
            <w:pPr>
              <w:pStyle w:val="BodyText"/>
              <w:spacing w:after="120"/>
              <w:rPr>
                <w:rFonts w:ascii="Calibri" w:hAnsi="Calibri"/>
                <w:szCs w:val="24"/>
              </w:rPr>
            </w:pPr>
          </w:p>
        </w:tc>
      </w:tr>
      <w:tr w:rsidR="00823CFE" w:rsidRPr="00F72869" w14:paraId="28F3A496" w14:textId="77777777" w:rsidTr="00995BC2">
        <w:trPr>
          <w:trHeight w:val="397"/>
        </w:trPr>
        <w:tc>
          <w:tcPr>
            <w:tcW w:w="2520" w:type="dxa"/>
            <w:vAlign w:val="bottom"/>
          </w:tcPr>
          <w:p w14:paraId="47C3A88E" w14:textId="77777777" w:rsidR="00823CFE" w:rsidRPr="00624FA0" w:rsidRDefault="00823CFE" w:rsidP="00995BC2">
            <w:pPr>
              <w:pStyle w:val="BodyText"/>
              <w:spacing w:after="120"/>
              <w:rPr>
                <w:rFonts w:ascii="Calibri" w:hAnsi="Calibri"/>
                <w:szCs w:val="24"/>
              </w:rPr>
            </w:pPr>
            <w:r w:rsidRPr="00624FA0">
              <w:rPr>
                <w:rFonts w:ascii="Calibri" w:hAnsi="Calibri"/>
                <w:sz w:val="22"/>
                <w:szCs w:val="24"/>
              </w:rPr>
              <w:t>Industry Role</w:t>
            </w:r>
          </w:p>
        </w:tc>
        <w:tc>
          <w:tcPr>
            <w:tcW w:w="7020" w:type="dxa"/>
            <w:vAlign w:val="bottom"/>
          </w:tcPr>
          <w:p w14:paraId="38261B57" w14:textId="77777777" w:rsidR="00823CFE" w:rsidRPr="00624FA0" w:rsidRDefault="00AB0791" w:rsidP="00AB0791">
            <w:pPr>
              <w:pStyle w:val="BodyText"/>
              <w:spacing w:after="120"/>
              <w:rPr>
                <w:rFonts w:ascii="Calibri" w:hAnsi="Calibri"/>
                <w:szCs w:val="24"/>
              </w:rPr>
            </w:pPr>
            <w:r>
              <w:rPr>
                <w:rFonts w:ascii="Calibri" w:hAnsi="Calibri"/>
                <w:szCs w:val="24"/>
              </w:rPr>
              <w:t>The guy who is not allowed to submit DCPs</w:t>
            </w:r>
          </w:p>
        </w:tc>
      </w:tr>
      <w:tr w:rsidR="00823CFE" w:rsidRPr="00F72869" w14:paraId="1028D251" w14:textId="77777777" w:rsidTr="00995BC2">
        <w:trPr>
          <w:trHeight w:val="397"/>
        </w:trPr>
        <w:tc>
          <w:tcPr>
            <w:tcW w:w="2520" w:type="dxa"/>
            <w:vAlign w:val="bottom"/>
          </w:tcPr>
          <w:p w14:paraId="25FDC903" w14:textId="77777777" w:rsidR="00823CFE" w:rsidRPr="00624FA0" w:rsidRDefault="00823CFE" w:rsidP="00995BC2">
            <w:pPr>
              <w:pStyle w:val="BodyText"/>
              <w:spacing w:after="120"/>
              <w:rPr>
                <w:rFonts w:ascii="Calibri" w:hAnsi="Calibri"/>
                <w:szCs w:val="24"/>
              </w:rPr>
            </w:pPr>
            <w:r w:rsidRPr="00624FA0">
              <w:rPr>
                <w:rFonts w:ascii="Calibri" w:hAnsi="Calibri"/>
                <w:sz w:val="22"/>
                <w:szCs w:val="24"/>
              </w:rPr>
              <w:t>Email Address</w:t>
            </w:r>
          </w:p>
        </w:tc>
        <w:tc>
          <w:tcPr>
            <w:tcW w:w="7020" w:type="dxa"/>
            <w:vAlign w:val="bottom"/>
          </w:tcPr>
          <w:p w14:paraId="14154C9D" w14:textId="77777777" w:rsidR="00823CFE" w:rsidRPr="00624FA0" w:rsidRDefault="00AB0791" w:rsidP="00AB0791">
            <w:pPr>
              <w:pStyle w:val="BodyText"/>
              <w:spacing w:after="120"/>
              <w:rPr>
                <w:rFonts w:ascii="Calibri" w:hAnsi="Calibri"/>
                <w:szCs w:val="24"/>
              </w:rPr>
            </w:pPr>
            <w:r w:rsidRPr="00AB0791">
              <w:rPr>
                <w:rFonts w:ascii="Calibri" w:hAnsi="Calibri"/>
                <w:szCs w:val="24"/>
              </w:rPr>
              <w:t>editor@dcmf.co.uk</w:t>
            </w:r>
          </w:p>
        </w:tc>
      </w:tr>
      <w:tr w:rsidR="00823CFE" w:rsidRPr="00F72869" w14:paraId="47D738CE" w14:textId="77777777" w:rsidTr="00995BC2">
        <w:trPr>
          <w:trHeight w:val="397"/>
        </w:trPr>
        <w:tc>
          <w:tcPr>
            <w:tcW w:w="2520" w:type="dxa"/>
            <w:tcBorders>
              <w:bottom w:val="single" w:sz="24" w:space="0" w:color="808080"/>
            </w:tcBorders>
            <w:vAlign w:val="bottom"/>
          </w:tcPr>
          <w:p w14:paraId="09193882" w14:textId="77777777" w:rsidR="00823CFE" w:rsidRPr="00624FA0" w:rsidRDefault="00823CFE" w:rsidP="00995BC2">
            <w:pPr>
              <w:pStyle w:val="BodyText"/>
              <w:spacing w:after="120"/>
              <w:rPr>
                <w:rFonts w:ascii="Calibri" w:hAnsi="Calibri"/>
                <w:szCs w:val="24"/>
              </w:rPr>
            </w:pPr>
            <w:r w:rsidRPr="00624FA0">
              <w:rPr>
                <w:rFonts w:ascii="Calibri" w:hAnsi="Calibri"/>
                <w:sz w:val="22"/>
                <w:szCs w:val="24"/>
              </w:rPr>
              <w:t>Telephone Number</w:t>
            </w:r>
          </w:p>
        </w:tc>
        <w:tc>
          <w:tcPr>
            <w:tcW w:w="7020" w:type="dxa"/>
            <w:tcBorders>
              <w:bottom w:val="single" w:sz="24" w:space="0" w:color="808080"/>
            </w:tcBorders>
            <w:vAlign w:val="bottom"/>
          </w:tcPr>
          <w:p w14:paraId="279986DB" w14:textId="77777777" w:rsidR="00823CFE" w:rsidRPr="00624FA0" w:rsidRDefault="00823CFE" w:rsidP="00995BC2">
            <w:pPr>
              <w:pStyle w:val="BodyText"/>
              <w:spacing w:after="120"/>
              <w:rPr>
                <w:rFonts w:ascii="Calibri" w:hAnsi="Calibri"/>
                <w:szCs w:val="24"/>
              </w:rPr>
            </w:pPr>
          </w:p>
        </w:tc>
      </w:tr>
    </w:tbl>
    <w:p w14:paraId="26AB07FC" w14:textId="77777777" w:rsidR="00823CFE" w:rsidRPr="00F72869" w:rsidRDefault="00823CFE" w:rsidP="00F72869">
      <w:pPr>
        <w:spacing w:after="120"/>
        <w:rPr>
          <w:rFonts w:ascii="Calibri" w:hAnsi="Calibr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823CFE" w:rsidRPr="00F72869" w14:paraId="579F6263" w14:textId="77777777" w:rsidTr="00995BC2">
        <w:trPr>
          <w:cantSplit/>
          <w:trHeight w:val="397"/>
        </w:trPr>
        <w:tc>
          <w:tcPr>
            <w:tcW w:w="9540" w:type="dxa"/>
            <w:tcBorders>
              <w:top w:val="single" w:sz="24" w:space="0" w:color="808080"/>
            </w:tcBorders>
            <w:shd w:val="clear" w:color="auto" w:fill="C0C0C0"/>
          </w:tcPr>
          <w:p w14:paraId="0A5E1D86" w14:textId="77777777" w:rsidR="00823CFE" w:rsidRPr="00624FA0" w:rsidRDefault="00823CFE" w:rsidP="00995BC2">
            <w:pPr>
              <w:pStyle w:val="BodyText"/>
              <w:spacing w:after="120"/>
              <w:rPr>
                <w:rFonts w:ascii="Calibri" w:hAnsi="Calibri"/>
                <w:b/>
                <w:bCs/>
                <w:szCs w:val="24"/>
              </w:rPr>
            </w:pPr>
            <w:r w:rsidRPr="00624FA0">
              <w:rPr>
                <w:rFonts w:ascii="Calibri" w:hAnsi="Calibri"/>
                <w:b/>
                <w:bCs/>
                <w:sz w:val="22"/>
                <w:szCs w:val="24"/>
              </w:rPr>
              <w:t>Nature of Issue</w:t>
            </w:r>
          </w:p>
        </w:tc>
      </w:tr>
      <w:tr w:rsidR="00823CFE" w:rsidRPr="00F72869" w14:paraId="28F0F022" w14:textId="77777777" w:rsidTr="00995BC2">
        <w:trPr>
          <w:cantSplit/>
          <w:trHeight w:val="639"/>
        </w:trPr>
        <w:tc>
          <w:tcPr>
            <w:tcW w:w="9540" w:type="dxa"/>
            <w:tcBorders>
              <w:bottom w:val="single" w:sz="24" w:space="0" w:color="808080"/>
            </w:tcBorders>
          </w:tcPr>
          <w:p w14:paraId="188E5F76" w14:textId="77777777" w:rsidR="00823CFE" w:rsidRPr="00BA66CE" w:rsidRDefault="00AB0791" w:rsidP="00BA66CE">
            <w:pPr>
              <w:pStyle w:val="BodyText"/>
              <w:rPr>
                <w:rFonts w:asciiTheme="minorHAnsi" w:hAnsiTheme="minorHAnsi"/>
                <w:sz w:val="22"/>
                <w:szCs w:val="22"/>
              </w:rPr>
            </w:pPr>
            <w:r>
              <w:rPr>
                <w:rFonts w:asciiTheme="minorHAnsi" w:hAnsiTheme="minorHAnsi"/>
                <w:sz w:val="22"/>
                <w:szCs w:val="22"/>
              </w:rPr>
              <w:t>Ofgem has proposed a lower allowed rate of return for the ED1 price control compared to previous price controls.</w:t>
            </w:r>
            <w:r w:rsidR="00BA66CE">
              <w:rPr>
                <w:rFonts w:asciiTheme="minorHAnsi" w:hAnsiTheme="minorHAnsi"/>
                <w:sz w:val="22"/>
                <w:szCs w:val="22"/>
              </w:rPr>
              <w:t xml:space="preserve">  </w:t>
            </w:r>
            <w:r>
              <w:rPr>
                <w:rFonts w:asciiTheme="minorHAnsi" w:hAnsiTheme="minorHAnsi"/>
                <w:sz w:val="22"/>
                <w:szCs w:val="22"/>
              </w:rPr>
              <w:t>In the past, when Ofgem has changed the rate of return in price controls, the CDCM has subsequently been changed to use an estimate of the pre-tax equivalent of the number allowed by Ofgem.</w:t>
            </w:r>
            <w:r w:rsidR="00BA66CE">
              <w:rPr>
                <w:rFonts w:asciiTheme="minorHAnsi" w:hAnsiTheme="minorHAnsi"/>
                <w:sz w:val="22"/>
                <w:szCs w:val="22"/>
              </w:rPr>
              <w:t xml:space="preserve">  </w:t>
            </w:r>
            <w:r>
              <w:rPr>
                <w:rFonts w:asciiTheme="minorHAnsi" w:hAnsiTheme="minorHAnsi"/>
                <w:sz w:val="22"/>
                <w:szCs w:val="22"/>
              </w:rPr>
              <w:t>Changing the rate of return in the CDCM ha</w:t>
            </w:r>
            <w:r w:rsidR="00BA66CE">
              <w:rPr>
                <w:rFonts w:asciiTheme="minorHAnsi" w:hAnsiTheme="minorHAnsi"/>
                <w:sz w:val="22"/>
                <w:szCs w:val="22"/>
              </w:rPr>
              <w:t>s a material impact on tariffs.</w:t>
            </w:r>
            <w:r>
              <w:rPr>
                <w:rFonts w:asciiTheme="minorHAnsi" w:hAnsiTheme="minorHAnsi"/>
                <w:sz w:val="22"/>
                <w:szCs w:val="22"/>
              </w:rPr>
              <w:t xml:space="preserve">  This impact is </w:t>
            </w:r>
            <w:r w:rsidR="00BA66CE">
              <w:rPr>
                <w:rFonts w:asciiTheme="minorHAnsi" w:hAnsiTheme="minorHAnsi"/>
                <w:sz w:val="22"/>
                <w:szCs w:val="22"/>
              </w:rPr>
              <w:t>dependent on the details of the approach to revenue matching used in the CDCM.</w:t>
            </w:r>
          </w:p>
        </w:tc>
      </w:tr>
    </w:tbl>
    <w:p w14:paraId="3E392005" w14:textId="77777777" w:rsidR="0073248A" w:rsidRPr="00F72869" w:rsidRDefault="0073248A" w:rsidP="00F72869">
      <w:pPr>
        <w:spacing w:after="120"/>
        <w:rPr>
          <w:rFonts w:ascii="Calibri" w:hAnsi="Calibr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823CFE" w:rsidRPr="00F72869" w14:paraId="58839384" w14:textId="77777777" w:rsidTr="00995BC2">
        <w:trPr>
          <w:cantSplit/>
          <w:trHeight w:val="397"/>
        </w:trPr>
        <w:tc>
          <w:tcPr>
            <w:tcW w:w="9540" w:type="dxa"/>
            <w:tcBorders>
              <w:top w:val="single" w:sz="24" w:space="0" w:color="808080"/>
            </w:tcBorders>
            <w:shd w:val="clear" w:color="auto" w:fill="C0C0C0"/>
          </w:tcPr>
          <w:p w14:paraId="308E2739" w14:textId="77777777" w:rsidR="00823CFE" w:rsidRPr="00624FA0" w:rsidRDefault="00823CFE" w:rsidP="00995BC2">
            <w:pPr>
              <w:pStyle w:val="BodyText"/>
              <w:spacing w:after="120"/>
              <w:rPr>
                <w:rFonts w:ascii="Calibri" w:hAnsi="Calibri"/>
                <w:b/>
                <w:bCs/>
                <w:szCs w:val="24"/>
              </w:rPr>
            </w:pPr>
            <w:r w:rsidRPr="00624FA0">
              <w:rPr>
                <w:rFonts w:ascii="Calibri" w:hAnsi="Calibri"/>
                <w:b/>
                <w:bCs/>
                <w:sz w:val="22"/>
                <w:szCs w:val="24"/>
              </w:rPr>
              <w:t>Proposed Solution</w:t>
            </w:r>
          </w:p>
        </w:tc>
      </w:tr>
      <w:tr w:rsidR="00823CFE" w:rsidRPr="00F72869" w14:paraId="20228A01" w14:textId="77777777" w:rsidTr="00995BC2">
        <w:trPr>
          <w:cantSplit/>
          <w:trHeight w:val="634"/>
        </w:trPr>
        <w:tc>
          <w:tcPr>
            <w:tcW w:w="9540" w:type="dxa"/>
            <w:tcBorders>
              <w:bottom w:val="single" w:sz="24" w:space="0" w:color="808080"/>
            </w:tcBorders>
          </w:tcPr>
          <w:p w14:paraId="4ABF18AD" w14:textId="77777777" w:rsidR="00823CFE" w:rsidRPr="00F520E4" w:rsidRDefault="00BA66CE" w:rsidP="00BA66CE">
            <w:pPr>
              <w:pStyle w:val="BodyText"/>
              <w:rPr>
                <w:rFonts w:asciiTheme="minorHAnsi" w:hAnsiTheme="minorHAnsi"/>
                <w:sz w:val="22"/>
                <w:szCs w:val="22"/>
              </w:rPr>
            </w:pPr>
            <w:r w:rsidRPr="00F520E4">
              <w:rPr>
                <w:rFonts w:asciiTheme="minorHAnsi" w:hAnsiTheme="minorHAnsi"/>
                <w:sz w:val="22"/>
                <w:szCs w:val="22"/>
              </w:rPr>
              <w:t>For MIG to determine.  My preference would be to break the link between the CDCM rate of return and the price control allowed rate of return, on the grounds that the price control rate of return is distorted by Ofgem’s misuse of RPI as the main index for the price control.</w:t>
            </w:r>
          </w:p>
        </w:tc>
      </w:tr>
    </w:tbl>
    <w:p w14:paraId="68150414" w14:textId="77777777" w:rsidR="00823CFE" w:rsidRPr="00F72869" w:rsidRDefault="00823CFE" w:rsidP="00F72869">
      <w:pPr>
        <w:spacing w:after="120"/>
        <w:rPr>
          <w:rFonts w:ascii="Calibri" w:hAnsi="Calibri"/>
        </w:rPr>
      </w:pPr>
    </w:p>
    <w:tbl>
      <w:tblPr>
        <w:tblW w:w="9540" w:type="dxa"/>
        <w:tblInd w:w="-612" w:type="dxa"/>
        <w:tblBorders>
          <w:top w:val="single" w:sz="24" w:space="0" w:color="808080"/>
          <w:left w:val="single" w:sz="24" w:space="0" w:color="808080"/>
          <w:bottom w:val="single" w:sz="24" w:space="0" w:color="808080"/>
          <w:right w:val="single" w:sz="24" w:space="0" w:color="808080"/>
          <w:insideH w:val="single" w:sz="8" w:space="0" w:color="C0C0C0"/>
          <w:insideV w:val="single" w:sz="8" w:space="0" w:color="C0C0C0"/>
        </w:tblBorders>
        <w:tblLook w:val="0000" w:firstRow="0" w:lastRow="0" w:firstColumn="0" w:lastColumn="0" w:noHBand="0" w:noVBand="0"/>
      </w:tblPr>
      <w:tblGrid>
        <w:gridCol w:w="9540"/>
      </w:tblGrid>
      <w:tr w:rsidR="00823CFE" w:rsidRPr="00F72869" w14:paraId="06E683A9" w14:textId="77777777" w:rsidTr="00AC13F9">
        <w:trPr>
          <w:cantSplit/>
          <w:trHeight w:val="262"/>
        </w:trPr>
        <w:tc>
          <w:tcPr>
            <w:tcW w:w="9540" w:type="dxa"/>
            <w:tcBorders>
              <w:top w:val="single" w:sz="24" w:space="0" w:color="808080"/>
            </w:tcBorders>
            <w:shd w:val="clear" w:color="auto" w:fill="C0C0C0"/>
          </w:tcPr>
          <w:p w14:paraId="094A6A8E" w14:textId="77777777" w:rsidR="00823CFE" w:rsidRPr="00624FA0" w:rsidRDefault="00823CFE" w:rsidP="00995BC2">
            <w:pPr>
              <w:pStyle w:val="BodyText"/>
              <w:spacing w:after="120"/>
              <w:rPr>
                <w:rFonts w:ascii="Calibri" w:hAnsi="Calibri"/>
                <w:b/>
                <w:bCs/>
                <w:szCs w:val="24"/>
              </w:rPr>
            </w:pPr>
            <w:r w:rsidRPr="00624FA0">
              <w:rPr>
                <w:rFonts w:ascii="Calibri" w:hAnsi="Calibri"/>
                <w:b/>
                <w:bCs/>
                <w:sz w:val="22"/>
                <w:szCs w:val="24"/>
              </w:rPr>
              <w:t xml:space="preserve">Target Implementation Date </w:t>
            </w:r>
          </w:p>
        </w:tc>
      </w:tr>
      <w:tr w:rsidR="00823CFE" w:rsidRPr="00F72869" w14:paraId="7245F4D0" w14:textId="77777777" w:rsidTr="00AC13F9">
        <w:trPr>
          <w:cantSplit/>
          <w:trHeight w:val="525"/>
        </w:trPr>
        <w:tc>
          <w:tcPr>
            <w:tcW w:w="9540" w:type="dxa"/>
            <w:tcBorders>
              <w:bottom w:val="single" w:sz="24" w:space="0" w:color="808080"/>
            </w:tcBorders>
          </w:tcPr>
          <w:p w14:paraId="5455951A" w14:textId="77777777" w:rsidR="00823CFE" w:rsidRPr="00F520E4" w:rsidRDefault="00AB0791" w:rsidP="00995BC2">
            <w:pPr>
              <w:pStyle w:val="BodyText"/>
              <w:spacing w:after="120"/>
              <w:rPr>
                <w:rFonts w:ascii="Calibri" w:hAnsi="Calibri"/>
                <w:sz w:val="22"/>
                <w:szCs w:val="22"/>
              </w:rPr>
            </w:pPr>
            <w:r w:rsidRPr="00F520E4">
              <w:rPr>
                <w:rFonts w:ascii="Calibri" w:hAnsi="Calibri"/>
                <w:sz w:val="22"/>
                <w:szCs w:val="22"/>
              </w:rPr>
              <w:t>1 April 2015</w:t>
            </w:r>
          </w:p>
        </w:tc>
      </w:tr>
    </w:tbl>
    <w:p w14:paraId="00CDBEC3" w14:textId="77777777" w:rsidR="00823CFE" w:rsidRPr="00BA66CE" w:rsidRDefault="00823CFE" w:rsidP="00BA66CE">
      <w:pPr>
        <w:rPr>
          <w:sz w:val="2"/>
          <w:szCs w:val="2"/>
        </w:rPr>
      </w:pPr>
    </w:p>
    <w:sectPr w:rsidR="00823CFE" w:rsidRPr="00BA66CE" w:rsidSect="004B0F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FDB6" w14:textId="77777777" w:rsidR="00823CFE" w:rsidRDefault="00823CFE" w:rsidP="00F72869">
      <w:r>
        <w:separator/>
      </w:r>
    </w:p>
  </w:endnote>
  <w:endnote w:type="continuationSeparator" w:id="0">
    <w:p w14:paraId="37F9528F" w14:textId="77777777" w:rsidR="00823CFE" w:rsidRDefault="00823CFE" w:rsidP="00F7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457F1" w14:textId="77777777" w:rsidR="00823CFE" w:rsidRDefault="00823CFE" w:rsidP="00F72869">
      <w:r>
        <w:separator/>
      </w:r>
    </w:p>
  </w:footnote>
  <w:footnote w:type="continuationSeparator" w:id="0">
    <w:p w14:paraId="5F627CBA" w14:textId="77777777" w:rsidR="00823CFE" w:rsidRDefault="00823CFE" w:rsidP="00F72869">
      <w:r>
        <w:continuationSeparator/>
      </w:r>
    </w:p>
  </w:footnote>
  <w:footnote w:id="1">
    <w:p w14:paraId="3517C731" w14:textId="77777777" w:rsidR="00823CFE" w:rsidRDefault="00823CFE" w:rsidP="00F72869">
      <w:pPr>
        <w:pStyle w:val="FootnoteText"/>
      </w:pPr>
      <w:r w:rsidRPr="00F72869">
        <w:rPr>
          <w:rStyle w:val="FootnoteReference"/>
          <w:rFonts w:ascii="MS Reference Sans Serif" w:hAnsi="MS Reference Sans Serif"/>
          <w:sz w:val="16"/>
          <w:szCs w:val="16"/>
        </w:rPr>
        <w:footnoteRef/>
      </w:r>
      <w:r w:rsidRPr="00F72869">
        <w:rPr>
          <w:rFonts w:ascii="MS Reference Sans Serif" w:hAnsi="MS Reference Sans Serif"/>
          <w:sz w:val="16"/>
          <w:szCs w:val="16"/>
        </w:rPr>
        <w:t xml:space="preserve"> Assigned by ElectraLink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BD8"/>
    <w:multiLevelType w:val="hybridMultilevel"/>
    <w:tmpl w:val="17C094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E6F593D"/>
    <w:multiLevelType w:val="hybridMultilevel"/>
    <w:tmpl w:val="848675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69"/>
    <w:rsid w:val="00003036"/>
    <w:rsid w:val="00064052"/>
    <w:rsid w:val="001506DC"/>
    <w:rsid w:val="00161EA1"/>
    <w:rsid w:val="001819DF"/>
    <w:rsid w:val="001F44E9"/>
    <w:rsid w:val="001F796C"/>
    <w:rsid w:val="00291907"/>
    <w:rsid w:val="002B72C4"/>
    <w:rsid w:val="002B7DCB"/>
    <w:rsid w:val="003103EF"/>
    <w:rsid w:val="004048F0"/>
    <w:rsid w:val="00405F4D"/>
    <w:rsid w:val="00450995"/>
    <w:rsid w:val="004B0F9C"/>
    <w:rsid w:val="00524388"/>
    <w:rsid w:val="00581872"/>
    <w:rsid w:val="00624FA0"/>
    <w:rsid w:val="00664191"/>
    <w:rsid w:val="006A178D"/>
    <w:rsid w:val="006A6910"/>
    <w:rsid w:val="0073248A"/>
    <w:rsid w:val="00760DB3"/>
    <w:rsid w:val="00823CFE"/>
    <w:rsid w:val="00903B6E"/>
    <w:rsid w:val="00973C95"/>
    <w:rsid w:val="00995BC2"/>
    <w:rsid w:val="00A65B3B"/>
    <w:rsid w:val="00A73539"/>
    <w:rsid w:val="00AB0791"/>
    <w:rsid w:val="00AC13F9"/>
    <w:rsid w:val="00AE5656"/>
    <w:rsid w:val="00AF02F1"/>
    <w:rsid w:val="00B1071A"/>
    <w:rsid w:val="00BA66CE"/>
    <w:rsid w:val="00C85CF3"/>
    <w:rsid w:val="00C960DE"/>
    <w:rsid w:val="00E50C1B"/>
    <w:rsid w:val="00EC6EE1"/>
    <w:rsid w:val="00ED7F28"/>
    <w:rsid w:val="00F36760"/>
    <w:rsid w:val="00F520E4"/>
    <w:rsid w:val="00F72869"/>
    <w:rsid w:val="00F77205"/>
    <w:rsid w:val="00FA6468"/>
    <w:rsid w:val="00FC2925"/>
    <w:rsid w:val="00FD35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3D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locked/>
    <w:rsid w:val="00F72869"/>
    <w:rPr>
      <w:rFonts w:ascii="Arial" w:hAnsi="Arial" w:cs="Times New Roman"/>
      <w:sz w:val="20"/>
      <w:szCs w:val="20"/>
      <w:lang w:eastAsia="en-GB"/>
    </w:rPr>
  </w:style>
  <w:style w:type="paragraph" w:styleId="FootnoteText">
    <w:name w:val="footnote text"/>
    <w:basedOn w:val="Normal"/>
    <w:link w:val="FootnoteTextChar"/>
    <w:uiPriority w:val="99"/>
    <w:semiHidden/>
    <w:rsid w:val="00F72869"/>
    <w:rPr>
      <w:sz w:val="20"/>
      <w:szCs w:val="20"/>
    </w:rPr>
  </w:style>
  <w:style w:type="character" w:customStyle="1" w:styleId="FootnoteTextChar">
    <w:name w:val="Footnote Text Char"/>
    <w:basedOn w:val="DefaultParagraphFont"/>
    <w:link w:val="FootnoteText"/>
    <w:uiPriority w:val="99"/>
    <w:semiHidden/>
    <w:locked/>
    <w:rsid w:val="00F72869"/>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F72869"/>
    <w:rPr>
      <w:rFonts w:cs="Times New Roman"/>
      <w:vertAlign w:val="superscript"/>
    </w:rPr>
  </w:style>
  <w:style w:type="paragraph" w:styleId="BalloonText">
    <w:name w:val="Balloon Text"/>
    <w:basedOn w:val="Normal"/>
    <w:link w:val="BalloonTextChar"/>
    <w:uiPriority w:val="99"/>
    <w:semiHidden/>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2869"/>
    <w:rPr>
      <w:rFonts w:ascii="Tahoma" w:hAnsi="Tahoma" w:cs="Tahoma"/>
      <w:sz w:val="16"/>
      <w:szCs w:val="16"/>
      <w:lang w:eastAsia="en-GB"/>
    </w:rPr>
  </w:style>
  <w:style w:type="paragraph" w:styleId="BodyTextIndent2">
    <w:name w:val="Body Text Indent 2"/>
    <w:basedOn w:val="Normal"/>
    <w:link w:val="BodyTextIndent2Char"/>
    <w:uiPriority w:val="99"/>
    <w:semiHidden/>
    <w:unhideWhenUsed/>
    <w:rsid w:val="002B72C4"/>
    <w:pPr>
      <w:spacing w:after="120" w:line="480" w:lineRule="auto"/>
      <w:ind w:left="283"/>
    </w:pPr>
    <w:rPr>
      <w:lang w:bidi="en-US"/>
    </w:rPr>
  </w:style>
  <w:style w:type="character" w:customStyle="1" w:styleId="BodyTextIndent2Char">
    <w:name w:val="Body Text Indent 2 Char"/>
    <w:basedOn w:val="DefaultParagraphFont"/>
    <w:link w:val="BodyTextIndent2"/>
    <w:uiPriority w:val="99"/>
    <w:semiHidden/>
    <w:rsid w:val="002B72C4"/>
    <w:rPr>
      <w:rFonts w:ascii="Times New Roman" w:eastAsia="Times New Roman" w:hAnsi="Times New Roman"/>
      <w:sz w:val="24"/>
      <w:szCs w:val="24"/>
      <w:lang w:bidi="en-US"/>
    </w:rPr>
  </w:style>
  <w:style w:type="paragraph" w:styleId="ListParagraph">
    <w:name w:val="List Paragraph"/>
    <w:basedOn w:val="Normal"/>
    <w:uiPriority w:val="34"/>
    <w:qFormat/>
    <w:rsid w:val="002B72C4"/>
    <w:pPr>
      <w:ind w:left="720"/>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2869"/>
    <w:rPr>
      <w:rFonts w:cs="Times New Roman"/>
      <w:color w:val="0000FF"/>
      <w:u w:val="single"/>
    </w:rPr>
  </w:style>
  <w:style w:type="paragraph" w:styleId="BodyText">
    <w:name w:val="Body Text"/>
    <w:basedOn w:val="Normal"/>
    <w:link w:val="BodyTextChar"/>
    <w:rsid w:val="00F72869"/>
    <w:pPr>
      <w:jc w:val="both"/>
    </w:pPr>
    <w:rPr>
      <w:rFonts w:ascii="Arial" w:hAnsi="Arial"/>
      <w:szCs w:val="20"/>
    </w:rPr>
  </w:style>
  <w:style w:type="character" w:customStyle="1" w:styleId="BodyTextChar">
    <w:name w:val="Body Text Char"/>
    <w:basedOn w:val="DefaultParagraphFont"/>
    <w:link w:val="BodyText"/>
    <w:locked/>
    <w:rsid w:val="00F72869"/>
    <w:rPr>
      <w:rFonts w:ascii="Arial" w:hAnsi="Arial" w:cs="Times New Roman"/>
      <w:sz w:val="20"/>
      <w:szCs w:val="20"/>
      <w:lang w:eastAsia="en-GB"/>
    </w:rPr>
  </w:style>
  <w:style w:type="paragraph" w:styleId="FootnoteText">
    <w:name w:val="footnote text"/>
    <w:basedOn w:val="Normal"/>
    <w:link w:val="FootnoteTextChar"/>
    <w:uiPriority w:val="99"/>
    <w:semiHidden/>
    <w:rsid w:val="00F72869"/>
    <w:rPr>
      <w:sz w:val="20"/>
      <w:szCs w:val="20"/>
    </w:rPr>
  </w:style>
  <w:style w:type="character" w:customStyle="1" w:styleId="FootnoteTextChar">
    <w:name w:val="Footnote Text Char"/>
    <w:basedOn w:val="DefaultParagraphFont"/>
    <w:link w:val="FootnoteText"/>
    <w:uiPriority w:val="99"/>
    <w:semiHidden/>
    <w:locked/>
    <w:rsid w:val="00F72869"/>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F72869"/>
    <w:rPr>
      <w:rFonts w:cs="Times New Roman"/>
      <w:vertAlign w:val="superscript"/>
    </w:rPr>
  </w:style>
  <w:style w:type="paragraph" w:styleId="BalloonText">
    <w:name w:val="Balloon Text"/>
    <w:basedOn w:val="Normal"/>
    <w:link w:val="BalloonTextChar"/>
    <w:uiPriority w:val="99"/>
    <w:semiHidden/>
    <w:rsid w:val="00F728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2869"/>
    <w:rPr>
      <w:rFonts w:ascii="Tahoma" w:hAnsi="Tahoma" w:cs="Tahoma"/>
      <w:sz w:val="16"/>
      <w:szCs w:val="16"/>
      <w:lang w:eastAsia="en-GB"/>
    </w:rPr>
  </w:style>
  <w:style w:type="paragraph" w:styleId="BodyTextIndent2">
    <w:name w:val="Body Text Indent 2"/>
    <w:basedOn w:val="Normal"/>
    <w:link w:val="BodyTextIndent2Char"/>
    <w:uiPriority w:val="99"/>
    <w:semiHidden/>
    <w:unhideWhenUsed/>
    <w:rsid w:val="002B72C4"/>
    <w:pPr>
      <w:spacing w:after="120" w:line="480" w:lineRule="auto"/>
      <w:ind w:left="283"/>
    </w:pPr>
    <w:rPr>
      <w:lang w:bidi="en-US"/>
    </w:rPr>
  </w:style>
  <w:style w:type="character" w:customStyle="1" w:styleId="BodyTextIndent2Char">
    <w:name w:val="Body Text Indent 2 Char"/>
    <w:basedOn w:val="DefaultParagraphFont"/>
    <w:link w:val="BodyTextIndent2"/>
    <w:uiPriority w:val="99"/>
    <w:semiHidden/>
    <w:rsid w:val="002B72C4"/>
    <w:rPr>
      <w:rFonts w:ascii="Times New Roman" w:eastAsia="Times New Roman" w:hAnsi="Times New Roman"/>
      <w:sz w:val="24"/>
      <w:szCs w:val="24"/>
      <w:lang w:bidi="en-US"/>
    </w:rPr>
  </w:style>
  <w:style w:type="paragraph" w:styleId="ListParagraph">
    <w:name w:val="List Paragraph"/>
    <w:basedOn w:val="Normal"/>
    <w:uiPriority w:val="34"/>
    <w:qFormat/>
    <w:rsid w:val="002B72C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DCMF@electralink.co.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Lawlor</dc:creator>
  <cp:lastModifiedBy>Franck Latrémolière (Reckon)</cp:lastModifiedBy>
  <cp:revision>6</cp:revision>
  <cp:lastPrinted>2012-09-19T13:36:00Z</cp:lastPrinted>
  <dcterms:created xsi:type="dcterms:W3CDTF">2014-04-09T15:52:00Z</dcterms:created>
  <dcterms:modified xsi:type="dcterms:W3CDTF">2014-04-09T15:58:00Z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