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13BC0" w14:textId="77777777" w:rsidR="00AF29FD" w:rsidRDefault="00AF29FD" w:rsidP="00AF29FD">
      <w:pPr>
        <w:pStyle w:val="Heading1"/>
        <w:numPr>
          <w:ilvl w:val="0"/>
          <w:numId w:val="12"/>
        </w:numPr>
      </w:pPr>
      <w:r>
        <w:t>EDCM worked examples for MIG issues 47, 49 and 63</w:t>
      </w:r>
    </w:p>
    <w:p w14:paraId="3D3E04B3" w14:textId="35349417" w:rsidR="00AF29FD" w:rsidRDefault="009F1DB7" w:rsidP="004F03A7">
      <w:pPr>
        <w:pStyle w:val="Byline"/>
      </w:pPr>
      <w:bookmarkStart w:id="0" w:name="_GoBack"/>
      <w:proofErr w:type="gramStart"/>
      <w:r w:rsidRPr="00AB6F30">
        <w:rPr>
          <w:color w:val="808080"/>
        </w:rPr>
        <w:t>by</w:t>
      </w:r>
      <w:proofErr w:type="gramEnd"/>
      <w:r w:rsidRPr="00AB6F30">
        <w:t xml:space="preserve"> Franck </w:t>
      </w:r>
      <w:r w:rsidRPr="004F03A7">
        <w:t>Latrémolière</w:t>
      </w:r>
      <w:r w:rsidRPr="00AB6F30">
        <w:t xml:space="preserve"> </w:t>
      </w:r>
      <w:r w:rsidRPr="00AB6F30">
        <w:rPr>
          <w:color w:val="808080"/>
        </w:rPr>
        <w:t>on</w:t>
      </w:r>
      <w:r w:rsidRPr="00AB6F30">
        <w:t xml:space="preserve"> </w:t>
      </w:r>
      <w:r w:rsidR="00937BE9">
        <w:rPr>
          <w:noProof/>
        </w:rPr>
        <w:t>Tuesday 17 December 2013</w:t>
      </w:r>
    </w:p>
    <w:bookmarkEnd w:id="0"/>
    <w:p w14:paraId="0F47199A" w14:textId="09A0659A" w:rsidR="007B7CF0" w:rsidRDefault="003719E2" w:rsidP="007B7CF0">
      <w:pPr>
        <w:pStyle w:val="Heading2"/>
      </w:pPr>
      <w:r>
        <w:t>Issues</w:t>
      </w:r>
    </w:p>
    <w:p w14:paraId="6AE521C8" w14:textId="77777777" w:rsidR="00AF29FD" w:rsidRDefault="00AF29FD" w:rsidP="00AF29FD">
      <w:pPr>
        <w:pStyle w:val="Text"/>
      </w:pPr>
      <w:r>
        <w:t>MIG issue 47 is about the application of FCP charges to customer categories, for example the fact that it seems wrong to apply FCP charges based on 132kV networks to a 0000 customer who does not use 132kV networks.</w:t>
      </w:r>
    </w:p>
    <w:p w14:paraId="734DEC44" w14:textId="2F7DDA3A" w:rsidR="00AF29FD" w:rsidRDefault="00AF29FD" w:rsidP="00AF29FD">
      <w:pPr>
        <w:pStyle w:val="Text"/>
      </w:pPr>
      <w:r>
        <w:t>MIG issue 49 is about the application of network use factors for network levels that are currently excluded by the customer category, for example the fact that a category 1100 customer (connected at a bulk supply point) does not currently pay for any 33kV circuits even if the power</w:t>
      </w:r>
      <w:r w:rsidR="005B6A3B">
        <w:t xml:space="preserve"> </w:t>
      </w:r>
      <w:r>
        <w:t>flow modelling suggests that the customer uses those circuits.</w:t>
      </w:r>
      <w:r w:rsidR="00352FEB">
        <w:t xml:space="preserve">  </w:t>
      </w:r>
    </w:p>
    <w:p w14:paraId="0F6DDB3A" w14:textId="77777777" w:rsidR="00AF29FD" w:rsidRDefault="00AF29FD" w:rsidP="00AF29FD">
      <w:pPr>
        <w:pStyle w:val="Text"/>
      </w:pPr>
      <w:r>
        <w:t>MIG issue 63 is about the application of FCP and LRIC charges to demand, specifically the fact that it seems wrong to charge customers on the basis of future costs which are not required to supply them and which may only be required to meet the demand of new customers or increases in demand of other existing customers.</w:t>
      </w:r>
    </w:p>
    <w:p w14:paraId="047FF08E" w14:textId="68764CDD" w:rsidR="00AF29FD" w:rsidRDefault="00AF29FD" w:rsidP="00AF29FD">
      <w:pPr>
        <w:pStyle w:val="Text"/>
      </w:pPr>
      <w:r w:rsidRPr="00AF29FD">
        <w:t xml:space="preserve">This note presents a few worked examples </w:t>
      </w:r>
      <w:r w:rsidR="00B32A19">
        <w:t>that</w:t>
      </w:r>
      <w:r w:rsidRPr="00AF29FD">
        <w:t xml:space="preserve"> might shed </w:t>
      </w:r>
      <w:r w:rsidR="00B32A19">
        <w:t xml:space="preserve">some </w:t>
      </w:r>
      <w:r w:rsidRPr="00AF29FD">
        <w:t xml:space="preserve">light on these issues and on some proposed solutions for them.  </w:t>
      </w:r>
    </w:p>
    <w:p w14:paraId="3C6CE57D" w14:textId="77777777" w:rsidR="003719E2" w:rsidRDefault="003719E2" w:rsidP="003719E2">
      <w:pPr>
        <w:pStyle w:val="Heading2"/>
      </w:pPr>
      <w:r>
        <w:t>Possible solutions</w:t>
      </w:r>
    </w:p>
    <w:p w14:paraId="3B3C18B4" w14:textId="38ACC55A" w:rsidR="00AF29FD" w:rsidRDefault="00AC2778" w:rsidP="00AF29FD">
      <w:pPr>
        <w:pStyle w:val="Heading3"/>
      </w:pPr>
      <w:r>
        <w:t>Solution A: addressing MIG issues 47 and 63 together</w:t>
      </w:r>
    </w:p>
    <w:p w14:paraId="1EB8D57F" w14:textId="77777777" w:rsidR="003719E2" w:rsidRDefault="00AF29FD" w:rsidP="007D48C7">
      <w:pPr>
        <w:pStyle w:val="Text"/>
      </w:pPr>
      <w:r>
        <w:t>MIG issue 63 is easily solved by removing charge 1</w:t>
      </w:r>
      <w:r w:rsidR="003719E2">
        <w:t xml:space="preserve"> (see</w:t>
      </w:r>
      <w:r w:rsidR="007D48C7">
        <w:t xml:space="preserve"> my paper </w:t>
      </w:r>
      <w:r w:rsidR="003719E2">
        <w:t xml:space="preserve">of 7 November 2013 </w:t>
      </w:r>
      <w:r w:rsidR="007D48C7">
        <w:t>for an impact analysis</w:t>
      </w:r>
      <w:r w:rsidR="003719E2">
        <w:t>).</w:t>
      </w:r>
    </w:p>
    <w:p w14:paraId="0B8C962C" w14:textId="33E31E0A" w:rsidR="007D48C7" w:rsidRDefault="007D48C7" w:rsidP="007D48C7">
      <w:pPr>
        <w:pStyle w:val="Text"/>
      </w:pPr>
      <w:r>
        <w:t>This solution also addresses MIG issue 47.  It does not address MIG issue 49.</w:t>
      </w:r>
    </w:p>
    <w:p w14:paraId="2B69D53A" w14:textId="77777777" w:rsidR="00AC2778" w:rsidRDefault="00AC2778" w:rsidP="00AC2778">
      <w:pPr>
        <w:pStyle w:val="Heading3"/>
      </w:pPr>
      <w:r>
        <w:t>Solution B: addressing MIG issue 47</w:t>
      </w:r>
      <w:r w:rsidRPr="00AC2778">
        <w:t xml:space="preserve"> </w:t>
      </w:r>
      <w:r>
        <w:t>without solving MIG issue 63</w:t>
      </w:r>
    </w:p>
    <w:p w14:paraId="1625D13D" w14:textId="77777777" w:rsidR="007D48C7" w:rsidRDefault="007D48C7" w:rsidP="007D48C7">
      <w:pPr>
        <w:pStyle w:val="Text"/>
      </w:pPr>
      <w:r>
        <w:t xml:space="preserve">Unless and until MIG issue 63 is solved, MIG issue 47 could be solved by limiting the application of FCP charges on the basis of customer categories, as shown in table </w:t>
      </w:r>
      <w:r>
        <w:fldChar w:fldCharType="begin"/>
      </w:r>
      <w:r>
        <w:instrText xml:space="preserve"> =1+</w:instrText>
      </w:r>
      <w:r>
        <w:fldChar w:fldCharType="begin"/>
      </w:r>
      <w:r>
        <w:instrText xml:space="preserve"> SEQ \c Table \* ARABIC </w:instrText>
      </w:r>
      <w:r>
        <w:fldChar w:fldCharType="separate"/>
      </w:r>
      <w:r w:rsidR="00B02CD6">
        <w:rPr>
          <w:noProof/>
        </w:rPr>
        <w:instrText>0</w:instrText>
      </w:r>
      <w:r>
        <w:fldChar w:fldCharType="end"/>
      </w:r>
      <w:r>
        <w:fldChar w:fldCharType="separate"/>
      </w:r>
      <w:r w:rsidR="00B02CD6">
        <w:rPr>
          <w:noProof/>
        </w:rPr>
        <w:t>1</w:t>
      </w:r>
      <w:r>
        <w:fldChar w:fldCharType="end"/>
      </w:r>
      <w:r>
        <w:t xml:space="preserve"> (where the struck out text refers to FCP charges that currently apply but would not longer apply under that solution).</w:t>
      </w:r>
    </w:p>
    <w:p w14:paraId="43D8C95B" w14:textId="77777777" w:rsidR="007D48C7" w:rsidRDefault="007D48C7" w:rsidP="007D48C7">
      <w:pPr>
        <w:pStyle w:val="Caption"/>
      </w:pPr>
      <w:r>
        <w:t xml:space="preserve">Table </w:t>
      </w:r>
      <w:r>
        <w:fldChar w:fldCharType="begin"/>
      </w:r>
      <w:r>
        <w:instrText xml:space="preserve"> SEQ Table \* ARABIC </w:instrText>
      </w:r>
      <w:r>
        <w:fldChar w:fldCharType="separate"/>
      </w:r>
      <w:r w:rsidR="00B02CD6">
        <w:rPr>
          <w:noProof/>
        </w:rPr>
        <w:t>1</w:t>
      </w:r>
      <w:r>
        <w:fldChar w:fldCharType="end"/>
      </w:r>
      <w:r>
        <w:tab/>
      </w:r>
      <w:r w:rsidR="00AC2778">
        <w:t>Solution B</w:t>
      </w:r>
    </w:p>
    <w:tbl>
      <w:tblPr>
        <w:tblStyle w:val="TableGrid"/>
        <w:tblW w:w="0" w:type="auto"/>
        <w:tblLook w:val="04A0" w:firstRow="1" w:lastRow="0" w:firstColumn="1" w:lastColumn="0" w:noHBand="0" w:noVBand="1"/>
      </w:tblPr>
      <w:tblGrid>
        <w:gridCol w:w="3078"/>
        <w:gridCol w:w="3079"/>
        <w:gridCol w:w="3079"/>
      </w:tblGrid>
      <w:tr w:rsidR="007D48C7" w14:paraId="0ADF6D06" w14:textId="77777777" w:rsidTr="007D48C7">
        <w:tc>
          <w:tcPr>
            <w:tcW w:w="3078" w:type="dxa"/>
          </w:tcPr>
          <w:p w14:paraId="6EB18ABD" w14:textId="77777777" w:rsidR="007D48C7" w:rsidRDefault="007D48C7" w:rsidP="007D48C7">
            <w:pPr>
              <w:pStyle w:val="Table"/>
            </w:pPr>
            <w:r>
              <w:t>Customer category</w:t>
            </w:r>
          </w:p>
        </w:tc>
        <w:tc>
          <w:tcPr>
            <w:tcW w:w="3079" w:type="dxa"/>
          </w:tcPr>
          <w:p w14:paraId="2C2456F8" w14:textId="77777777" w:rsidR="007D48C7" w:rsidRDefault="007D48C7" w:rsidP="007D48C7">
            <w:pPr>
              <w:pStyle w:val="Table"/>
            </w:pPr>
            <w:r>
              <w:t>FCP charges applied to capacity</w:t>
            </w:r>
          </w:p>
        </w:tc>
        <w:tc>
          <w:tcPr>
            <w:tcW w:w="3079" w:type="dxa"/>
          </w:tcPr>
          <w:p w14:paraId="09292790" w14:textId="77777777" w:rsidR="007D48C7" w:rsidRDefault="007D48C7" w:rsidP="007D48C7">
            <w:pPr>
              <w:pStyle w:val="Table"/>
            </w:pPr>
            <w:r>
              <w:t>FCP charges applied to demand</w:t>
            </w:r>
          </w:p>
        </w:tc>
      </w:tr>
      <w:tr w:rsidR="007D48C7" w14:paraId="0F0F7238" w14:textId="77777777" w:rsidTr="007D48C7">
        <w:tc>
          <w:tcPr>
            <w:tcW w:w="3078" w:type="dxa"/>
          </w:tcPr>
          <w:p w14:paraId="38662B03" w14:textId="77777777" w:rsidR="007D48C7" w:rsidRDefault="007D48C7" w:rsidP="007D48C7">
            <w:pPr>
              <w:pStyle w:val="Table"/>
            </w:pPr>
            <w:r>
              <w:t>0000</w:t>
            </w:r>
          </w:p>
        </w:tc>
        <w:tc>
          <w:tcPr>
            <w:tcW w:w="3079" w:type="dxa"/>
          </w:tcPr>
          <w:p w14:paraId="428CF5E5" w14:textId="77777777" w:rsidR="007D48C7" w:rsidRDefault="007D48C7" w:rsidP="006851F8">
            <w:pPr>
              <w:pStyle w:val="Table"/>
              <w:rPr>
                <w:dstrike/>
                <w:szCs w:val="22"/>
              </w:rPr>
            </w:pPr>
            <w:r w:rsidRPr="007D48C7">
              <w:rPr>
                <w:dstrike/>
                <w:szCs w:val="22"/>
              </w:rPr>
              <w:t>Level 1 (132KV)</w:t>
            </w:r>
          </w:p>
          <w:p w14:paraId="34C229EF" w14:textId="77777777" w:rsidR="006851F8" w:rsidRPr="007D48C7" w:rsidRDefault="006851F8" w:rsidP="006851F8">
            <w:pPr>
              <w:pStyle w:val="Table"/>
              <w:rPr>
                <w:dstrike/>
                <w:szCs w:val="22"/>
              </w:rPr>
            </w:pPr>
            <w:r>
              <w:rPr>
                <w:dstrike/>
                <w:szCs w:val="22"/>
              </w:rPr>
              <w:t xml:space="preserve">Level 2 </w:t>
            </w:r>
            <w:r w:rsidRPr="007D48C7">
              <w:rPr>
                <w:dstrike/>
                <w:szCs w:val="22"/>
              </w:rPr>
              <w:t>(</w:t>
            </w:r>
            <w:r>
              <w:rPr>
                <w:dstrike/>
                <w:szCs w:val="22"/>
              </w:rPr>
              <w:t>EHV</w:t>
            </w:r>
            <w:r w:rsidRPr="007D48C7">
              <w:rPr>
                <w:dstrike/>
                <w:szCs w:val="22"/>
              </w:rPr>
              <w:t>)</w:t>
            </w:r>
          </w:p>
        </w:tc>
        <w:tc>
          <w:tcPr>
            <w:tcW w:w="3079" w:type="dxa"/>
          </w:tcPr>
          <w:p w14:paraId="17CF8434" w14:textId="77777777" w:rsidR="007D48C7" w:rsidRDefault="007D48C7" w:rsidP="007D48C7">
            <w:pPr>
              <w:pStyle w:val="Table"/>
            </w:pPr>
          </w:p>
        </w:tc>
      </w:tr>
      <w:tr w:rsidR="007D48C7" w14:paraId="6072D0B3" w14:textId="77777777" w:rsidTr="007D48C7">
        <w:tc>
          <w:tcPr>
            <w:tcW w:w="3078" w:type="dxa"/>
          </w:tcPr>
          <w:p w14:paraId="5E9D9214" w14:textId="77777777" w:rsidR="007D48C7" w:rsidRDefault="007D48C7" w:rsidP="007D48C7">
            <w:pPr>
              <w:pStyle w:val="Table"/>
            </w:pPr>
            <w:r>
              <w:t>0001</w:t>
            </w:r>
          </w:p>
        </w:tc>
        <w:tc>
          <w:tcPr>
            <w:tcW w:w="3079" w:type="dxa"/>
          </w:tcPr>
          <w:p w14:paraId="5DF9EAE5" w14:textId="77777777" w:rsidR="007D48C7" w:rsidRDefault="007D48C7" w:rsidP="007D48C7">
            <w:pPr>
              <w:pStyle w:val="Table"/>
            </w:pPr>
            <w:r>
              <w:t>Level 3 (132kV/HV)</w:t>
            </w:r>
          </w:p>
        </w:tc>
        <w:tc>
          <w:tcPr>
            <w:tcW w:w="3079" w:type="dxa"/>
          </w:tcPr>
          <w:p w14:paraId="57B54708" w14:textId="77777777" w:rsidR="007D48C7" w:rsidRPr="006851F8" w:rsidRDefault="006851F8" w:rsidP="007D48C7">
            <w:pPr>
              <w:pStyle w:val="Table"/>
              <w:rPr>
                <w:dstrike/>
                <w:szCs w:val="22"/>
              </w:rPr>
            </w:pPr>
            <w:r w:rsidRPr="007D48C7">
              <w:rPr>
                <w:dstrike/>
                <w:szCs w:val="22"/>
              </w:rPr>
              <w:t>Level 1 (132KV)</w:t>
            </w:r>
          </w:p>
        </w:tc>
      </w:tr>
      <w:tr w:rsidR="007D48C7" w14:paraId="633535F2" w14:textId="77777777" w:rsidTr="007D48C7">
        <w:tc>
          <w:tcPr>
            <w:tcW w:w="3078" w:type="dxa"/>
          </w:tcPr>
          <w:p w14:paraId="2FBD5837" w14:textId="77777777" w:rsidR="007D48C7" w:rsidRDefault="007D48C7" w:rsidP="007D48C7">
            <w:pPr>
              <w:pStyle w:val="Table"/>
            </w:pPr>
            <w:r>
              <w:t>0002</w:t>
            </w:r>
          </w:p>
        </w:tc>
        <w:tc>
          <w:tcPr>
            <w:tcW w:w="3079" w:type="dxa"/>
          </w:tcPr>
          <w:p w14:paraId="0DEE131F" w14:textId="77777777" w:rsidR="007D48C7" w:rsidRDefault="007D48C7" w:rsidP="007D48C7">
            <w:pPr>
              <w:pStyle w:val="Table"/>
            </w:pPr>
            <w:r>
              <w:t>Level 3 (EHV/HV)</w:t>
            </w:r>
          </w:p>
        </w:tc>
        <w:tc>
          <w:tcPr>
            <w:tcW w:w="3079" w:type="dxa"/>
          </w:tcPr>
          <w:p w14:paraId="01603746" w14:textId="77777777" w:rsidR="007D48C7" w:rsidRDefault="006851F8" w:rsidP="007D48C7">
            <w:pPr>
              <w:pStyle w:val="Table"/>
            </w:pPr>
            <w:r>
              <w:rPr>
                <w:dstrike/>
                <w:szCs w:val="22"/>
              </w:rPr>
              <w:t xml:space="preserve">Level 2 </w:t>
            </w:r>
            <w:r w:rsidRPr="007D48C7">
              <w:rPr>
                <w:dstrike/>
                <w:szCs w:val="22"/>
              </w:rPr>
              <w:t>(</w:t>
            </w:r>
            <w:r>
              <w:rPr>
                <w:dstrike/>
                <w:szCs w:val="22"/>
              </w:rPr>
              <w:t>EHV</w:t>
            </w:r>
            <w:r w:rsidRPr="007D48C7">
              <w:rPr>
                <w:dstrike/>
                <w:szCs w:val="22"/>
              </w:rPr>
              <w:t>)</w:t>
            </w:r>
          </w:p>
        </w:tc>
      </w:tr>
      <w:tr w:rsidR="007D48C7" w14:paraId="14AD83E6" w14:textId="77777777" w:rsidTr="007D48C7">
        <w:tc>
          <w:tcPr>
            <w:tcW w:w="3078" w:type="dxa"/>
          </w:tcPr>
          <w:p w14:paraId="0B6363A1" w14:textId="77777777" w:rsidR="007D48C7" w:rsidRDefault="007D48C7" w:rsidP="007D48C7">
            <w:pPr>
              <w:pStyle w:val="Table"/>
            </w:pPr>
            <w:r>
              <w:lastRenderedPageBreak/>
              <w:t>0010</w:t>
            </w:r>
          </w:p>
        </w:tc>
        <w:tc>
          <w:tcPr>
            <w:tcW w:w="3079" w:type="dxa"/>
          </w:tcPr>
          <w:p w14:paraId="7EF1C6D7" w14:textId="77777777" w:rsidR="007D48C7" w:rsidRDefault="007D48C7" w:rsidP="007D48C7">
            <w:pPr>
              <w:pStyle w:val="Table"/>
            </w:pPr>
            <w:r>
              <w:t>Level 2 (EHV)</w:t>
            </w:r>
          </w:p>
        </w:tc>
        <w:tc>
          <w:tcPr>
            <w:tcW w:w="3079" w:type="dxa"/>
          </w:tcPr>
          <w:p w14:paraId="1C661E85" w14:textId="77777777" w:rsidR="007D48C7" w:rsidRDefault="007D48C7" w:rsidP="007D48C7">
            <w:pPr>
              <w:pStyle w:val="Table"/>
            </w:pPr>
          </w:p>
        </w:tc>
      </w:tr>
      <w:tr w:rsidR="007D48C7" w14:paraId="61D7193D" w14:textId="77777777" w:rsidTr="007D48C7">
        <w:tc>
          <w:tcPr>
            <w:tcW w:w="3078" w:type="dxa"/>
          </w:tcPr>
          <w:p w14:paraId="5FA9CF24" w14:textId="77777777" w:rsidR="007D48C7" w:rsidRDefault="007D48C7" w:rsidP="007D48C7">
            <w:pPr>
              <w:pStyle w:val="Table"/>
            </w:pPr>
            <w:r>
              <w:t>0011</w:t>
            </w:r>
          </w:p>
        </w:tc>
        <w:tc>
          <w:tcPr>
            <w:tcW w:w="3079" w:type="dxa"/>
          </w:tcPr>
          <w:p w14:paraId="107C87F3" w14:textId="77777777" w:rsidR="007D48C7" w:rsidRDefault="007D48C7" w:rsidP="007D48C7">
            <w:pPr>
              <w:pStyle w:val="Table"/>
            </w:pPr>
            <w:r>
              <w:t>Level 3 (EHV/HV)</w:t>
            </w:r>
          </w:p>
        </w:tc>
        <w:tc>
          <w:tcPr>
            <w:tcW w:w="3079" w:type="dxa"/>
          </w:tcPr>
          <w:p w14:paraId="14783006" w14:textId="77777777" w:rsidR="007D48C7" w:rsidRDefault="007D48C7" w:rsidP="007D48C7">
            <w:pPr>
              <w:pStyle w:val="Table"/>
            </w:pPr>
            <w:r>
              <w:t>Level 2 (EHV)</w:t>
            </w:r>
          </w:p>
        </w:tc>
      </w:tr>
      <w:tr w:rsidR="007D48C7" w14:paraId="3174C59B" w14:textId="77777777" w:rsidTr="007D48C7">
        <w:tc>
          <w:tcPr>
            <w:tcW w:w="3078" w:type="dxa"/>
          </w:tcPr>
          <w:p w14:paraId="13F028CE" w14:textId="77777777" w:rsidR="007D48C7" w:rsidRPr="006F2D71" w:rsidRDefault="007D48C7" w:rsidP="007D48C7">
            <w:pPr>
              <w:pStyle w:val="Table"/>
            </w:pPr>
            <w:r w:rsidRPr="006F2D71">
              <w:t>0100</w:t>
            </w:r>
          </w:p>
        </w:tc>
        <w:tc>
          <w:tcPr>
            <w:tcW w:w="3079" w:type="dxa"/>
          </w:tcPr>
          <w:p w14:paraId="7F5A3309" w14:textId="77777777" w:rsidR="007D48C7" w:rsidRPr="007D48C7" w:rsidRDefault="007D48C7" w:rsidP="007D48C7">
            <w:pPr>
              <w:pStyle w:val="Table"/>
              <w:rPr>
                <w:dstrike/>
                <w:szCs w:val="22"/>
              </w:rPr>
            </w:pPr>
            <w:r w:rsidRPr="007D48C7">
              <w:rPr>
                <w:dstrike/>
                <w:szCs w:val="22"/>
              </w:rPr>
              <w:t>Level 2 (EHV)</w:t>
            </w:r>
          </w:p>
        </w:tc>
        <w:tc>
          <w:tcPr>
            <w:tcW w:w="3079" w:type="dxa"/>
          </w:tcPr>
          <w:p w14:paraId="4264D60F" w14:textId="77777777" w:rsidR="007D48C7" w:rsidRPr="00217464" w:rsidRDefault="00217464" w:rsidP="007D48C7">
            <w:pPr>
              <w:pStyle w:val="Table"/>
              <w:rPr>
                <w:dstrike/>
                <w:szCs w:val="22"/>
              </w:rPr>
            </w:pPr>
            <w:r w:rsidRPr="007D48C7">
              <w:rPr>
                <w:dstrike/>
                <w:szCs w:val="22"/>
              </w:rPr>
              <w:t>Level 1 (132KV)</w:t>
            </w:r>
          </w:p>
        </w:tc>
      </w:tr>
      <w:tr w:rsidR="007D48C7" w14:paraId="65504D07" w14:textId="77777777" w:rsidTr="007D48C7">
        <w:tc>
          <w:tcPr>
            <w:tcW w:w="3078" w:type="dxa"/>
          </w:tcPr>
          <w:p w14:paraId="67CDA213" w14:textId="77777777" w:rsidR="007D48C7" w:rsidRPr="006F2D71" w:rsidRDefault="007D48C7" w:rsidP="007D48C7">
            <w:pPr>
              <w:pStyle w:val="Table"/>
            </w:pPr>
            <w:r w:rsidRPr="006F2D71">
              <w:t>0101</w:t>
            </w:r>
          </w:p>
        </w:tc>
        <w:tc>
          <w:tcPr>
            <w:tcW w:w="3079" w:type="dxa"/>
          </w:tcPr>
          <w:p w14:paraId="56CF99C7" w14:textId="77777777" w:rsidR="007D48C7" w:rsidRDefault="007D48C7" w:rsidP="007D48C7">
            <w:pPr>
              <w:pStyle w:val="Table"/>
            </w:pPr>
            <w:r>
              <w:t>Level 3 (EHV/HV)</w:t>
            </w:r>
          </w:p>
        </w:tc>
        <w:tc>
          <w:tcPr>
            <w:tcW w:w="3079" w:type="dxa"/>
          </w:tcPr>
          <w:p w14:paraId="754B5031" w14:textId="77777777" w:rsidR="007D48C7" w:rsidRDefault="007D48C7" w:rsidP="007D48C7">
            <w:pPr>
              <w:pStyle w:val="Table"/>
            </w:pPr>
            <w:r w:rsidRPr="007D48C7">
              <w:rPr>
                <w:dstrike/>
                <w:szCs w:val="22"/>
              </w:rPr>
              <w:t>Level 2 (EHV)</w:t>
            </w:r>
          </w:p>
        </w:tc>
      </w:tr>
      <w:tr w:rsidR="007D48C7" w14:paraId="7A8F11E0" w14:textId="77777777" w:rsidTr="007D48C7">
        <w:tc>
          <w:tcPr>
            <w:tcW w:w="3078" w:type="dxa"/>
          </w:tcPr>
          <w:p w14:paraId="54A7EEAB" w14:textId="77777777" w:rsidR="007D48C7" w:rsidRPr="006F2D71" w:rsidRDefault="007D48C7" w:rsidP="007D48C7">
            <w:pPr>
              <w:pStyle w:val="Table"/>
            </w:pPr>
            <w:r w:rsidRPr="006F2D71">
              <w:t>0110</w:t>
            </w:r>
          </w:p>
        </w:tc>
        <w:tc>
          <w:tcPr>
            <w:tcW w:w="3079" w:type="dxa"/>
          </w:tcPr>
          <w:p w14:paraId="497BE9E4" w14:textId="77777777" w:rsidR="007D48C7" w:rsidRDefault="007D48C7" w:rsidP="007D48C7">
            <w:pPr>
              <w:pStyle w:val="Table"/>
            </w:pPr>
            <w:r>
              <w:t>Level 2 (EHV)</w:t>
            </w:r>
          </w:p>
        </w:tc>
        <w:tc>
          <w:tcPr>
            <w:tcW w:w="3079" w:type="dxa"/>
          </w:tcPr>
          <w:p w14:paraId="31C8AC84" w14:textId="77777777" w:rsidR="007D48C7" w:rsidRPr="00217464" w:rsidRDefault="00217464" w:rsidP="007D48C7">
            <w:pPr>
              <w:pStyle w:val="Table"/>
              <w:rPr>
                <w:dstrike/>
                <w:szCs w:val="22"/>
              </w:rPr>
            </w:pPr>
            <w:r w:rsidRPr="007D48C7">
              <w:rPr>
                <w:dstrike/>
                <w:szCs w:val="22"/>
              </w:rPr>
              <w:t>Level 1 (132KV)</w:t>
            </w:r>
          </w:p>
        </w:tc>
      </w:tr>
      <w:tr w:rsidR="007D48C7" w14:paraId="44841FC2" w14:textId="77777777" w:rsidTr="007D48C7">
        <w:tc>
          <w:tcPr>
            <w:tcW w:w="3078" w:type="dxa"/>
          </w:tcPr>
          <w:p w14:paraId="5DADBAFB" w14:textId="77777777" w:rsidR="007D48C7" w:rsidRPr="006F2D71" w:rsidRDefault="007D48C7" w:rsidP="007D48C7">
            <w:pPr>
              <w:pStyle w:val="Table"/>
            </w:pPr>
            <w:r w:rsidRPr="006F2D71">
              <w:t>0111</w:t>
            </w:r>
          </w:p>
        </w:tc>
        <w:tc>
          <w:tcPr>
            <w:tcW w:w="3079" w:type="dxa"/>
          </w:tcPr>
          <w:p w14:paraId="6CEB0BB8" w14:textId="77777777" w:rsidR="007D48C7" w:rsidRDefault="007D48C7" w:rsidP="007D48C7">
            <w:pPr>
              <w:pStyle w:val="Table"/>
            </w:pPr>
            <w:r>
              <w:t>Level 3 (EHV/HV)</w:t>
            </w:r>
          </w:p>
        </w:tc>
        <w:tc>
          <w:tcPr>
            <w:tcW w:w="3079" w:type="dxa"/>
          </w:tcPr>
          <w:p w14:paraId="102D7833" w14:textId="77777777" w:rsidR="00217464" w:rsidRDefault="00217464" w:rsidP="00217464">
            <w:pPr>
              <w:pStyle w:val="Table"/>
              <w:rPr>
                <w:dstrike/>
                <w:szCs w:val="22"/>
              </w:rPr>
            </w:pPr>
            <w:r w:rsidRPr="007D48C7">
              <w:rPr>
                <w:dstrike/>
                <w:szCs w:val="22"/>
              </w:rPr>
              <w:t>Level 1 (132KV)</w:t>
            </w:r>
          </w:p>
          <w:p w14:paraId="3B68F4CD" w14:textId="77777777" w:rsidR="007D48C7" w:rsidRDefault="007D48C7" w:rsidP="007D48C7">
            <w:pPr>
              <w:pStyle w:val="Table"/>
            </w:pPr>
            <w:r>
              <w:t>Level 2 (EHV)</w:t>
            </w:r>
          </w:p>
        </w:tc>
      </w:tr>
      <w:tr w:rsidR="007D48C7" w14:paraId="69019BF1" w14:textId="77777777" w:rsidTr="007D48C7">
        <w:tc>
          <w:tcPr>
            <w:tcW w:w="3078" w:type="dxa"/>
          </w:tcPr>
          <w:p w14:paraId="1BC333AA" w14:textId="77777777" w:rsidR="007D48C7" w:rsidRPr="006F2D71" w:rsidRDefault="007D48C7" w:rsidP="007D48C7">
            <w:pPr>
              <w:pStyle w:val="Table"/>
            </w:pPr>
            <w:r w:rsidRPr="006F2D71">
              <w:t>1000</w:t>
            </w:r>
          </w:p>
        </w:tc>
        <w:tc>
          <w:tcPr>
            <w:tcW w:w="3079" w:type="dxa"/>
          </w:tcPr>
          <w:p w14:paraId="2AA1C099" w14:textId="77777777" w:rsidR="007D48C7" w:rsidRPr="007D48C7" w:rsidRDefault="007D48C7" w:rsidP="007D48C7">
            <w:pPr>
              <w:pStyle w:val="Table"/>
            </w:pPr>
            <w:r w:rsidRPr="007D48C7">
              <w:t>Level 1 (132KV)</w:t>
            </w:r>
          </w:p>
        </w:tc>
        <w:tc>
          <w:tcPr>
            <w:tcW w:w="3079" w:type="dxa"/>
          </w:tcPr>
          <w:p w14:paraId="1A667E22" w14:textId="77777777" w:rsidR="007D48C7" w:rsidRDefault="007D48C7" w:rsidP="007D48C7">
            <w:pPr>
              <w:pStyle w:val="Table"/>
            </w:pPr>
          </w:p>
        </w:tc>
      </w:tr>
      <w:tr w:rsidR="007D48C7" w14:paraId="7F9A3B96" w14:textId="77777777" w:rsidTr="007D48C7">
        <w:tc>
          <w:tcPr>
            <w:tcW w:w="3078" w:type="dxa"/>
          </w:tcPr>
          <w:p w14:paraId="7DC8523A" w14:textId="77777777" w:rsidR="007D48C7" w:rsidRPr="006F2D71" w:rsidRDefault="007D48C7" w:rsidP="007D48C7">
            <w:pPr>
              <w:pStyle w:val="Table"/>
            </w:pPr>
            <w:r w:rsidRPr="006F2D71">
              <w:t>1001</w:t>
            </w:r>
          </w:p>
        </w:tc>
        <w:tc>
          <w:tcPr>
            <w:tcW w:w="3079" w:type="dxa"/>
          </w:tcPr>
          <w:p w14:paraId="09076792" w14:textId="77777777" w:rsidR="007D48C7" w:rsidRDefault="007D48C7" w:rsidP="007D48C7">
            <w:pPr>
              <w:pStyle w:val="Table"/>
            </w:pPr>
            <w:r>
              <w:t>Level 3 (132kV/HV)</w:t>
            </w:r>
          </w:p>
        </w:tc>
        <w:tc>
          <w:tcPr>
            <w:tcW w:w="3079" w:type="dxa"/>
          </w:tcPr>
          <w:p w14:paraId="7C1D001C" w14:textId="77777777" w:rsidR="007D48C7" w:rsidRDefault="007D48C7" w:rsidP="007D48C7">
            <w:pPr>
              <w:pStyle w:val="Table"/>
            </w:pPr>
            <w:r w:rsidRPr="007D48C7">
              <w:t>Level 1 (132KV)</w:t>
            </w:r>
          </w:p>
        </w:tc>
      </w:tr>
      <w:tr w:rsidR="007D48C7" w14:paraId="77A293C1" w14:textId="77777777" w:rsidTr="007D48C7">
        <w:tc>
          <w:tcPr>
            <w:tcW w:w="3078" w:type="dxa"/>
          </w:tcPr>
          <w:p w14:paraId="5AECEECA" w14:textId="77777777" w:rsidR="007D48C7" w:rsidRPr="006F2D71" w:rsidRDefault="007D48C7" w:rsidP="007D48C7">
            <w:pPr>
              <w:pStyle w:val="Table"/>
            </w:pPr>
            <w:r w:rsidRPr="006F2D71">
              <w:t>1100</w:t>
            </w:r>
          </w:p>
        </w:tc>
        <w:tc>
          <w:tcPr>
            <w:tcW w:w="3079" w:type="dxa"/>
          </w:tcPr>
          <w:p w14:paraId="4E919A9E" w14:textId="77777777" w:rsidR="007D48C7" w:rsidRDefault="00352FEB" w:rsidP="007D48C7">
            <w:pPr>
              <w:pStyle w:val="Table"/>
            </w:pPr>
            <w:r w:rsidRPr="007D48C7">
              <w:rPr>
                <w:dstrike/>
                <w:szCs w:val="22"/>
              </w:rPr>
              <w:t>Level 2 (EHV)</w:t>
            </w:r>
          </w:p>
        </w:tc>
        <w:tc>
          <w:tcPr>
            <w:tcW w:w="3079" w:type="dxa"/>
          </w:tcPr>
          <w:p w14:paraId="42E57411" w14:textId="77777777" w:rsidR="007D48C7" w:rsidRDefault="007D48C7" w:rsidP="007D48C7">
            <w:pPr>
              <w:pStyle w:val="Table"/>
            </w:pPr>
            <w:r w:rsidRPr="007D48C7">
              <w:t>Level 1 (132KV)</w:t>
            </w:r>
          </w:p>
        </w:tc>
      </w:tr>
      <w:tr w:rsidR="007D48C7" w14:paraId="12D6A48C" w14:textId="77777777" w:rsidTr="007D48C7">
        <w:tc>
          <w:tcPr>
            <w:tcW w:w="3078" w:type="dxa"/>
          </w:tcPr>
          <w:p w14:paraId="330B3C50" w14:textId="77777777" w:rsidR="007D48C7" w:rsidRPr="006F2D71" w:rsidRDefault="007D48C7" w:rsidP="007D48C7">
            <w:pPr>
              <w:pStyle w:val="Table"/>
            </w:pPr>
            <w:r w:rsidRPr="006F2D71">
              <w:t>1101</w:t>
            </w:r>
          </w:p>
        </w:tc>
        <w:tc>
          <w:tcPr>
            <w:tcW w:w="3079" w:type="dxa"/>
          </w:tcPr>
          <w:p w14:paraId="5115A3CD" w14:textId="77777777" w:rsidR="007D48C7" w:rsidRDefault="00352FEB" w:rsidP="007D48C7">
            <w:pPr>
              <w:pStyle w:val="Table"/>
            </w:pPr>
            <w:r>
              <w:t>Level 3 (EHV/HV)</w:t>
            </w:r>
          </w:p>
        </w:tc>
        <w:tc>
          <w:tcPr>
            <w:tcW w:w="3079" w:type="dxa"/>
          </w:tcPr>
          <w:p w14:paraId="4639C80A" w14:textId="77777777" w:rsidR="007D48C7" w:rsidRDefault="007D48C7" w:rsidP="007D48C7">
            <w:pPr>
              <w:pStyle w:val="Table"/>
            </w:pPr>
            <w:r w:rsidRPr="007D48C7">
              <w:t>Level 1 (132KV)</w:t>
            </w:r>
          </w:p>
          <w:p w14:paraId="31BBF5EF" w14:textId="77777777" w:rsidR="007D48C7" w:rsidRDefault="007D48C7" w:rsidP="007D48C7">
            <w:pPr>
              <w:pStyle w:val="Table"/>
            </w:pPr>
            <w:r w:rsidRPr="007D48C7">
              <w:rPr>
                <w:dstrike/>
                <w:szCs w:val="22"/>
              </w:rPr>
              <w:t>Level 2 (EHV)</w:t>
            </w:r>
          </w:p>
        </w:tc>
      </w:tr>
      <w:tr w:rsidR="007D48C7" w14:paraId="2537EE6F" w14:textId="77777777" w:rsidTr="007D48C7">
        <w:tc>
          <w:tcPr>
            <w:tcW w:w="3078" w:type="dxa"/>
          </w:tcPr>
          <w:p w14:paraId="4F7356B7" w14:textId="77777777" w:rsidR="007D48C7" w:rsidRPr="006F2D71" w:rsidRDefault="007D48C7" w:rsidP="007D48C7">
            <w:pPr>
              <w:pStyle w:val="Table"/>
            </w:pPr>
            <w:r w:rsidRPr="006F2D71">
              <w:t>1110</w:t>
            </w:r>
          </w:p>
        </w:tc>
        <w:tc>
          <w:tcPr>
            <w:tcW w:w="3079" w:type="dxa"/>
          </w:tcPr>
          <w:p w14:paraId="16D28BBD" w14:textId="77777777" w:rsidR="007D48C7" w:rsidRDefault="00352FEB" w:rsidP="007D48C7">
            <w:pPr>
              <w:pStyle w:val="Table"/>
            </w:pPr>
            <w:r>
              <w:t>Level 2 (EHV)</w:t>
            </w:r>
          </w:p>
        </w:tc>
        <w:tc>
          <w:tcPr>
            <w:tcW w:w="3079" w:type="dxa"/>
          </w:tcPr>
          <w:p w14:paraId="2647A2A9" w14:textId="77777777" w:rsidR="007D48C7" w:rsidRDefault="007D48C7" w:rsidP="007D48C7">
            <w:pPr>
              <w:pStyle w:val="Table"/>
            </w:pPr>
            <w:r w:rsidRPr="007D48C7">
              <w:t>Level 1 (132KV)</w:t>
            </w:r>
          </w:p>
        </w:tc>
      </w:tr>
      <w:tr w:rsidR="007D48C7" w14:paraId="5EA7094D" w14:textId="77777777" w:rsidTr="007D48C7">
        <w:tc>
          <w:tcPr>
            <w:tcW w:w="3078" w:type="dxa"/>
          </w:tcPr>
          <w:p w14:paraId="6DC2E546" w14:textId="77777777" w:rsidR="007D48C7" w:rsidRPr="006F2D71" w:rsidRDefault="007D48C7" w:rsidP="007D48C7">
            <w:pPr>
              <w:pStyle w:val="Table"/>
            </w:pPr>
            <w:r w:rsidRPr="006F2D71">
              <w:t>1111</w:t>
            </w:r>
          </w:p>
        </w:tc>
        <w:tc>
          <w:tcPr>
            <w:tcW w:w="3079" w:type="dxa"/>
          </w:tcPr>
          <w:p w14:paraId="68E29D2C" w14:textId="77777777" w:rsidR="007D48C7" w:rsidRDefault="00352FEB" w:rsidP="007D48C7">
            <w:pPr>
              <w:pStyle w:val="Table"/>
            </w:pPr>
            <w:r>
              <w:t>Level 3 (EHV/HV)</w:t>
            </w:r>
          </w:p>
        </w:tc>
        <w:tc>
          <w:tcPr>
            <w:tcW w:w="3079" w:type="dxa"/>
          </w:tcPr>
          <w:p w14:paraId="58B48CCE" w14:textId="77777777" w:rsidR="007D48C7" w:rsidRDefault="007D48C7" w:rsidP="007D48C7">
            <w:pPr>
              <w:pStyle w:val="Table"/>
            </w:pPr>
            <w:r w:rsidRPr="007D48C7">
              <w:t>Level 1 (132KV)</w:t>
            </w:r>
          </w:p>
          <w:p w14:paraId="218AA34A" w14:textId="77777777" w:rsidR="007D48C7" w:rsidRDefault="007D48C7" w:rsidP="007D48C7">
            <w:pPr>
              <w:pStyle w:val="Table"/>
            </w:pPr>
            <w:r>
              <w:t>Level 2 (EHV)</w:t>
            </w:r>
          </w:p>
        </w:tc>
      </w:tr>
    </w:tbl>
    <w:p w14:paraId="491CAA63" w14:textId="77777777" w:rsidR="00AF29FD" w:rsidRDefault="00AF29FD" w:rsidP="00352FEB">
      <w:pPr>
        <w:pStyle w:val="TableLastNote"/>
      </w:pPr>
    </w:p>
    <w:p w14:paraId="2B042240" w14:textId="1A625E0A" w:rsidR="003719E2" w:rsidRDefault="003719E2" w:rsidP="003719E2">
      <w:pPr>
        <w:pStyle w:val="Text"/>
      </w:pPr>
      <w:r>
        <w:t>Solution B can be extended to LRIC by removing any part of the network that is not used according to the customer category code</w:t>
      </w:r>
      <w:r w:rsidRPr="003719E2">
        <w:t xml:space="preserve"> </w:t>
      </w:r>
      <w:r>
        <w:t>from the calculations of the local charge 1 and the remote charge 1.</w:t>
      </w:r>
    </w:p>
    <w:p w14:paraId="6BC16284" w14:textId="55C40FFD" w:rsidR="00AC2778" w:rsidRDefault="00AC2778" w:rsidP="00AC2778">
      <w:pPr>
        <w:pStyle w:val="Heading3"/>
      </w:pPr>
      <w:r>
        <w:t xml:space="preserve">Ofgem’s rejection of solution B through </w:t>
      </w:r>
      <w:r w:rsidR="000F17D8">
        <w:t xml:space="preserve">its </w:t>
      </w:r>
      <w:r>
        <w:t>DCP 139</w:t>
      </w:r>
      <w:r w:rsidR="000F17D8">
        <w:t xml:space="preserve"> decision</w:t>
      </w:r>
    </w:p>
    <w:p w14:paraId="74ED57E3" w14:textId="77777777" w:rsidR="00352FEB" w:rsidRDefault="00352FEB" w:rsidP="00352FEB">
      <w:pPr>
        <w:pStyle w:val="Text"/>
      </w:pPr>
      <w:r>
        <w:t xml:space="preserve">Part of the solution presented in table </w:t>
      </w:r>
      <w:r>
        <w:fldChar w:fldCharType="begin"/>
      </w:r>
      <w:r>
        <w:instrText xml:space="preserve"> =0+</w:instrText>
      </w:r>
      <w:r>
        <w:fldChar w:fldCharType="begin"/>
      </w:r>
      <w:r>
        <w:instrText xml:space="preserve"> SEQ \c Table \* ARABIC </w:instrText>
      </w:r>
      <w:r>
        <w:fldChar w:fldCharType="separate"/>
      </w:r>
      <w:r w:rsidR="00B02CD6">
        <w:rPr>
          <w:noProof/>
        </w:rPr>
        <w:instrText>1</w:instrText>
      </w:r>
      <w:r>
        <w:fldChar w:fldCharType="end"/>
      </w:r>
      <w:r>
        <w:fldChar w:fldCharType="separate"/>
      </w:r>
      <w:r w:rsidR="00B02CD6">
        <w:rPr>
          <w:noProof/>
        </w:rPr>
        <w:t>1</w:t>
      </w:r>
      <w:r>
        <w:fldChar w:fldCharType="end"/>
      </w:r>
      <w:r>
        <w:t xml:space="preserve"> was submitted last year as DCP 139.  This change was blocked by Ofgem, with the following comment:</w:t>
      </w:r>
    </w:p>
    <w:p w14:paraId="50519C12" w14:textId="77777777" w:rsidR="00352FEB" w:rsidRDefault="00352FEB" w:rsidP="00352FEB">
      <w:pPr>
        <w:pStyle w:val="Quotation"/>
        <w:rPr>
          <w:lang w:val="en-US" w:bidi="ar-SA"/>
        </w:rPr>
      </w:pPr>
      <w:r>
        <w:rPr>
          <w:lang w:val="en-US" w:bidi="ar-SA"/>
        </w:rPr>
        <w:t>We do not think it has been demonstrated that the approach proposed in DCP139 would necessarily result in more cost-reflective charges. In particular, it is not clear that simply removing the FCP charge in its entirety from 0000 customers will give more cost- reflective charges. This approach gives no consideration of the extent to which a 0000 customer actually drives reinforcement of the assets at its network level. For example, the networks are designed in order to provide the level of security of supply that is required by the P2/6 planning standard.</w:t>
      </w:r>
      <w:r>
        <w:rPr>
          <w:position w:val="10"/>
          <w:sz w:val="12"/>
          <w:szCs w:val="12"/>
          <w:lang w:val="en-US" w:bidi="ar-SA"/>
        </w:rPr>
        <w:t xml:space="preserve">7 </w:t>
      </w:r>
      <w:r>
        <w:rPr>
          <w:lang w:val="en-US" w:bidi="ar-SA"/>
        </w:rPr>
        <w:t xml:space="preserve">Therefore, under certain outage conditions, as well as some normal running conditions, a 0000 customer would use network assets other than those that connect it directly to the GSP. By extension, a 0000 customer contributes to the need for future reinforcements (that are needed in order to maintain the required security of supply) and should also arguably contribute to these costs along with other customers. We also note that there are some cases of “meshed” networks </w:t>
      </w:r>
      <w:r>
        <w:rPr>
          <w:lang w:val="en-US" w:bidi="ar-SA"/>
        </w:rPr>
        <w:lastRenderedPageBreak/>
        <w:t>where assets are operated in parallel, so it is not a straightforward matter to say that a particular 0000 customer does not use particular assets. For example, a 0000 customer might routinely draw power from two GSPs if there is a circuit linking them.</w:t>
      </w:r>
    </w:p>
    <w:p w14:paraId="65DD3B13" w14:textId="77777777" w:rsidR="00352FEB" w:rsidRPr="00352FEB" w:rsidRDefault="00352FEB" w:rsidP="00352FEB">
      <w:pPr>
        <w:pStyle w:val="Text"/>
      </w:pPr>
      <w:r>
        <w:t>Ofgem’s logic only works if it is true that “</w:t>
      </w:r>
      <w:r>
        <w:rPr>
          <w:lang w:val="en-US" w:bidi="ar-SA"/>
        </w:rPr>
        <w:t>under certain outage conditions, as well as some normal running conditions, a 0000 customer would use network assets other than those that connect it directly to the GSP”.  Ofgem does not report doing any work to establish whether this claim was true before relying on it to maintain a large FCP charge on the 0000 customer that triggered the change proposal.  The only smidgeon of evidence offered in Ofgem’s decision is:</w:t>
      </w:r>
    </w:p>
    <w:p w14:paraId="73302E40" w14:textId="77777777" w:rsidR="00352FEB" w:rsidRDefault="00352FEB" w:rsidP="00352FEB">
      <w:pPr>
        <w:pStyle w:val="Quotation"/>
      </w:pPr>
      <w:r w:rsidRPr="00352FEB">
        <w:t>However, the DNOs that use FCP say that 0000 customers are partly responsible for reinforcement at this network level</w:t>
      </w:r>
      <w:r>
        <w:t xml:space="preserve"> [presumably meaning 132kV]</w:t>
      </w:r>
      <w:r w:rsidRPr="00352FEB">
        <w:t>.</w:t>
      </w:r>
    </w:p>
    <w:p w14:paraId="1A6B521A" w14:textId="77777777" w:rsidR="000274C1" w:rsidRPr="000274C1" w:rsidRDefault="000C7674" w:rsidP="00352FEB">
      <w:pPr>
        <w:pStyle w:val="Text"/>
      </w:pPr>
      <w:r w:rsidRPr="000274C1">
        <w:t xml:space="preserve">I have looked through the DCP 139 change report, consultation document, consultation responses, and voting comments, and </w:t>
      </w:r>
      <w:r w:rsidR="00AC2778" w:rsidRPr="000274C1">
        <w:t>I could</w:t>
      </w:r>
      <w:r w:rsidRPr="000274C1">
        <w:t xml:space="preserve"> not find any comment from any DNO using FCP that would support Ofgem’s claim that 0000 customers use 132kV circuits.  </w:t>
      </w:r>
      <w:r w:rsidR="000274C1" w:rsidRPr="000274C1">
        <w:t>T</w:t>
      </w:r>
      <w:r w:rsidRPr="000274C1">
        <w:t>he words “outage” and “P2” do not appear in any of these documents</w:t>
      </w:r>
      <w:r w:rsidR="000274C1" w:rsidRPr="000274C1">
        <w:t>.  There are two references to normal running/operating arrangements in the consultation responses: one talking about things “calculated under system normal operating arrangements and […] not intended to be considered in relation to the calculation or the application of FCP charge 1”; and the other quoting a reference to Normal Running Arrangements in the rules for the calculation or application of FCP charges</w:t>
      </w:r>
      <w:r w:rsidRPr="000274C1">
        <w:t>.</w:t>
      </w:r>
      <w:r w:rsidR="000274C1" w:rsidRPr="000274C1">
        <w:t xml:space="preserve">  </w:t>
      </w:r>
    </w:p>
    <w:p w14:paraId="223964DF" w14:textId="77777777" w:rsidR="000C7674" w:rsidRDefault="006851F8" w:rsidP="00352FEB">
      <w:pPr>
        <w:pStyle w:val="Text"/>
      </w:pPr>
      <w:r>
        <w:t>I do not know where Ofgem got its information from</w:t>
      </w:r>
      <w:r w:rsidR="00AC2778">
        <w:t>,</w:t>
      </w:r>
      <w:r>
        <w:t xml:space="preserve"> or how </w:t>
      </w:r>
      <w:r w:rsidR="00AC2778">
        <w:t xml:space="preserve">Ofgem </w:t>
      </w:r>
      <w:r>
        <w:t xml:space="preserve">ensured that any submissions from one class of interested parties (DNOs using FCP) had been validated </w:t>
      </w:r>
      <w:r w:rsidR="00AC2778">
        <w:t>e.g. by consulting on them</w:t>
      </w:r>
      <w:r>
        <w:t xml:space="preserve"> with </w:t>
      </w:r>
      <w:r w:rsidR="00AC2778">
        <w:t xml:space="preserve">a wider public </w:t>
      </w:r>
      <w:r>
        <w:t>(</w:t>
      </w:r>
      <w:r w:rsidR="00AC2778">
        <w:t xml:space="preserve">and </w:t>
      </w:r>
      <w:r>
        <w:t>in particular the suppliers backing DCP 139).</w:t>
      </w:r>
    </w:p>
    <w:p w14:paraId="0EDF860C" w14:textId="77777777" w:rsidR="00AC2778" w:rsidRPr="00AC2778" w:rsidRDefault="00AC2778" w:rsidP="00352FEB">
      <w:pPr>
        <w:pStyle w:val="Text"/>
      </w:pPr>
      <w:r>
        <w:t>Ofgem’s assumption that “</w:t>
      </w:r>
      <w:r>
        <w:rPr>
          <w:lang w:val="en-US" w:bidi="ar-SA"/>
        </w:rPr>
        <w:t xml:space="preserve">under certain outage conditions, as well as some normal running conditions, a 0000 customer would use network assets other than those that connect it directly to the GSP” is plainly not true in general.  Take for example a 0000 </w:t>
      </w:r>
      <w:proofErr w:type="gramStart"/>
      <w:r>
        <w:rPr>
          <w:lang w:val="en-US" w:bidi="ar-SA"/>
        </w:rPr>
        <w:t>customer which</w:t>
      </w:r>
      <w:proofErr w:type="gramEnd"/>
      <w:r>
        <w:rPr>
          <w:lang w:val="en-US" w:bidi="ar-SA"/>
        </w:rPr>
        <w:t xml:space="preserve"> is the sole user of a GSP: this customer does not use any DNO 132kV circuits, however the term “use” is construed.  It might be true in some cases, as discussed below.  It won’t be true in others.</w:t>
      </w:r>
      <w:r w:rsidR="00992EBC">
        <w:rPr>
          <w:lang w:val="en-US" w:bidi="ar-SA"/>
        </w:rPr>
        <w:t xml:space="preserve">  </w:t>
      </w:r>
      <w:r w:rsidR="00882365">
        <w:rPr>
          <w:lang w:val="en-US" w:bidi="ar-SA"/>
        </w:rPr>
        <w:t xml:space="preserve">I don’t know in what proportion of cases it is true, and Ofgem does not disclose any information about that.  </w:t>
      </w:r>
      <w:r w:rsidR="00992EBC">
        <w:rPr>
          <w:lang w:val="en-US" w:bidi="ar-SA"/>
        </w:rPr>
        <w:t>Yet Ofgem relied on it as if it were always true.</w:t>
      </w:r>
    </w:p>
    <w:p w14:paraId="30263554" w14:textId="1A88F4C1" w:rsidR="00AC2778" w:rsidRPr="00AC2778" w:rsidRDefault="00AC2778" w:rsidP="00352FEB">
      <w:pPr>
        <w:pStyle w:val="Text"/>
      </w:pPr>
      <w:r>
        <w:rPr>
          <w:lang w:val="en-US" w:bidi="ar-SA"/>
        </w:rPr>
        <w:t>It is regrettable that Ofgem’s decision on DCP 139 is so lacking in reliable evidence.</w:t>
      </w:r>
      <w:r w:rsidR="00992EBC">
        <w:rPr>
          <w:lang w:val="en-US" w:bidi="ar-SA"/>
        </w:rPr>
        <w:t xml:space="preserve"> </w:t>
      </w:r>
      <w:r w:rsidR="000274C1">
        <w:rPr>
          <w:lang w:val="en-US" w:bidi="ar-SA"/>
        </w:rPr>
        <w:t xml:space="preserve"> </w:t>
      </w:r>
      <w:r w:rsidR="000F17D8">
        <w:rPr>
          <w:lang w:val="en-US" w:bidi="ar-SA"/>
        </w:rPr>
        <w:t xml:space="preserve">In my view, </w:t>
      </w:r>
      <w:r w:rsidR="00992EBC">
        <w:rPr>
          <w:lang w:val="en-US" w:bidi="ar-SA"/>
        </w:rPr>
        <w:t xml:space="preserve">MIG should not treat that decision as </w:t>
      </w:r>
      <w:r w:rsidR="000274C1">
        <w:rPr>
          <w:lang w:val="en-US" w:bidi="ar-SA"/>
        </w:rPr>
        <w:t xml:space="preserve">establishing </w:t>
      </w:r>
      <w:r w:rsidR="00992EBC">
        <w:rPr>
          <w:lang w:val="en-US" w:bidi="ar-SA"/>
        </w:rPr>
        <w:t>a</w:t>
      </w:r>
      <w:r w:rsidR="000F17D8">
        <w:rPr>
          <w:lang w:val="en-US" w:bidi="ar-SA"/>
        </w:rPr>
        <w:t>ny</w:t>
      </w:r>
      <w:r w:rsidR="00992EBC">
        <w:rPr>
          <w:lang w:val="en-US" w:bidi="ar-SA"/>
        </w:rPr>
        <w:t xml:space="preserve"> valid precedent or as the source of any principle.</w:t>
      </w:r>
    </w:p>
    <w:p w14:paraId="44D8AF7B" w14:textId="77777777" w:rsidR="00992EBC" w:rsidRDefault="00AC2778" w:rsidP="00AC2778">
      <w:pPr>
        <w:pStyle w:val="Heading3"/>
      </w:pPr>
      <w:r>
        <w:t xml:space="preserve">Solution C: </w:t>
      </w:r>
      <w:r w:rsidR="00992EBC">
        <w:t>defining which network levels each customer uses</w:t>
      </w:r>
      <w:r w:rsidR="00882365">
        <w:t xml:space="preserve"> using n–1 contingencies</w:t>
      </w:r>
    </w:p>
    <w:p w14:paraId="47D0E4F7" w14:textId="77777777" w:rsidR="00992EBC" w:rsidRDefault="00992EBC" w:rsidP="00992EBC">
      <w:pPr>
        <w:pStyle w:val="Text"/>
      </w:pPr>
      <w:r>
        <w:t xml:space="preserve">The system of 15 customer categories is a generic way of specifying which network levels each customer uses.  Currently, customer classification is done, in effect, by identifying one particular route on the network from the customer to a GSP.  The </w:t>
      </w:r>
      <w:r>
        <w:lastRenderedPageBreak/>
        <w:t>relevant route is the one that involves bypassing as many network levels as possible, starting at the top of the network.</w:t>
      </w:r>
    </w:p>
    <w:p w14:paraId="33ECA50F" w14:textId="77777777" w:rsidR="00992EBC" w:rsidRDefault="00992EBC" w:rsidP="00992EBC">
      <w:pPr>
        <w:pStyle w:val="Text"/>
      </w:pPr>
      <w:r>
        <w:t xml:space="preserve">If there </w:t>
      </w:r>
      <w:proofErr w:type="gramStart"/>
      <w:r>
        <w:t>was</w:t>
      </w:r>
      <w:proofErr w:type="gramEnd"/>
      <w:r>
        <w:t xml:space="preserve"> no </w:t>
      </w:r>
      <w:r w:rsidR="00882365">
        <w:t xml:space="preserve">requirement for </w:t>
      </w:r>
      <w:r>
        <w:t>network redundancy, then this route</w:t>
      </w:r>
      <w:r w:rsidR="00931730">
        <w:t xml:space="preserve"> and the customer categorisation derived from it</w:t>
      </w:r>
      <w:r>
        <w:t xml:space="preserve"> would be a </w:t>
      </w:r>
      <w:r w:rsidR="00882365">
        <w:t>reasonable representation of “use”.</w:t>
      </w:r>
    </w:p>
    <w:p w14:paraId="1884F550" w14:textId="77777777" w:rsidR="00931730" w:rsidRDefault="00882365" w:rsidP="00992EBC">
      <w:pPr>
        <w:pStyle w:val="Text"/>
      </w:pPr>
      <w:r>
        <w:t xml:space="preserve">But in reality there is network redundancy.  The level of security of supply provided through that redundancy may be specified </w:t>
      </w:r>
      <w:r w:rsidR="00931730">
        <w:t xml:space="preserve">in a connection agreement, </w:t>
      </w:r>
      <w:proofErr w:type="gramStart"/>
      <w:r w:rsidR="00931730">
        <w:t>or</w:t>
      </w:r>
      <w:proofErr w:type="gramEnd"/>
      <w:r w:rsidR="00931730">
        <w:t xml:space="preserve"> (at least in the case of redundant infrastructure serving more than one </w:t>
      </w:r>
      <w:r w:rsidR="00717131">
        <w:t xml:space="preserve">customer) be governed by P2/6. </w:t>
      </w:r>
    </w:p>
    <w:p w14:paraId="3FC3AEC4" w14:textId="77777777" w:rsidR="00931730" w:rsidRDefault="00931730" w:rsidP="00992EBC">
      <w:pPr>
        <w:pStyle w:val="Text"/>
      </w:pPr>
      <w:r>
        <w:t xml:space="preserve">Solution C is to make a simplifying approximation </w:t>
      </w:r>
      <w:r w:rsidR="00717131">
        <w:t xml:space="preserve">of these complicated rules by assuming that </w:t>
      </w:r>
      <w:r>
        <w:t xml:space="preserve">a network level is “used” if it is necessary to provide a supply to the customer either in normal running arrangements or after a first circuit outage; and to use that definition of “use” as the basis for the customer category and for the application of FCP charges if/where </w:t>
      </w:r>
      <w:r w:rsidR="00717131">
        <w:t>relevant (using the solution B m</w:t>
      </w:r>
      <w:r>
        <w:t>apping).</w:t>
      </w:r>
    </w:p>
    <w:p w14:paraId="51147197" w14:textId="77777777" w:rsidR="00717131" w:rsidRDefault="00717131" w:rsidP="00992EBC">
      <w:pPr>
        <w:pStyle w:val="Text"/>
      </w:pPr>
      <w:r>
        <w:t>Solution C seems to address MIG issue 47 by restoring consistency between the concepts of “use” implied by the application of FCP and by the customer category for the calculation of notional assets.</w:t>
      </w:r>
    </w:p>
    <w:p w14:paraId="18568646" w14:textId="77777777" w:rsidR="00882365" w:rsidRDefault="00717131" w:rsidP="00717131">
      <w:pPr>
        <w:pStyle w:val="Heading3"/>
      </w:pPr>
      <w:r>
        <w:t>Does solution C address MIG issue 49?</w:t>
      </w:r>
    </w:p>
    <w:p w14:paraId="4A69EBCB" w14:textId="77777777" w:rsidR="00AF29FD" w:rsidRDefault="000274C1" w:rsidP="000274C1">
      <w:pPr>
        <w:pStyle w:val="Text"/>
      </w:pPr>
      <w:r>
        <w:t>MIG issue 49 appears to be motivated by discrepancies between the current customer categorisation and the concept of use implied by the power flow analysis underpinning network use factors.  Changing the customer categorisation as proposed by solution C would change these discrepancies.</w:t>
      </w:r>
    </w:p>
    <w:p w14:paraId="5C87A5B5" w14:textId="77777777" w:rsidR="000274C1" w:rsidRDefault="000274C1" w:rsidP="000274C1">
      <w:pPr>
        <w:pStyle w:val="Text"/>
      </w:pPr>
      <w:r>
        <w:t>Solution C would not remove all the issue 49 discrepancies, because the solution C definition of use would relate to n–1 contingencies whereas the power flow analysis underpinning network use factors only considers normal running arrangements.</w:t>
      </w:r>
    </w:p>
    <w:p w14:paraId="5AECFE39" w14:textId="77777777" w:rsidR="001D6E47" w:rsidRDefault="000274C1" w:rsidP="000274C1">
      <w:pPr>
        <w:pStyle w:val="Text"/>
      </w:pPr>
      <w:r>
        <w:t xml:space="preserve">In terms of charging, the solution C method to identify which assets are used (and therefore charged for) is better than something that would rely only </w:t>
      </w:r>
      <w:r w:rsidR="001D6E47">
        <w:t>on power flow analysis under normal running arrangements.  This is because the expenses that have been incurred or will be incurred by the DNO to build, operate, repair and replace assets is driven by the requirement to provide a level of network redundancy similar to that implied by the n–1 contingency analysis, and not in any material way by the way in which the power happens to flow under whatever running arrangements are currently considered normal.</w:t>
      </w:r>
    </w:p>
    <w:p w14:paraId="50E1B902" w14:textId="77777777" w:rsidR="000274C1" w:rsidRDefault="001D6E47" w:rsidP="000274C1">
      <w:pPr>
        <w:pStyle w:val="Text"/>
      </w:pPr>
      <w:r>
        <w:t>On that basis, I would argue that solution C addresses the part of MIG issue 49 that ought to be addressed.  Where discrepancies between the network levels identified by solution C and by network use factors remain, charging should be driven by solution C.</w:t>
      </w:r>
    </w:p>
    <w:p w14:paraId="7E835591" w14:textId="5F8B3351" w:rsidR="001D6E47" w:rsidRDefault="003719E2" w:rsidP="000274C1">
      <w:pPr>
        <w:pStyle w:val="Text"/>
      </w:pPr>
      <w:r>
        <w:t xml:space="preserve">In example 3 below, </w:t>
      </w:r>
      <w:r w:rsidR="001D6E47">
        <w:t>a network use factor is likely to be materially understated as a result of the network use factor methodology’s overreliance on normal operating arrangements.  My view is that</w:t>
      </w:r>
      <w:r w:rsidR="006A5C7E">
        <w:t xml:space="preserve">, if this matters, </w:t>
      </w:r>
      <w:r w:rsidR="001D6E47">
        <w:t>then it should be fixed within the network use factor methodology rather than by distorting the customer categorisation.</w:t>
      </w:r>
    </w:p>
    <w:p w14:paraId="0F76A5B2" w14:textId="77777777" w:rsidR="001D6E47" w:rsidRDefault="001D6E47" w:rsidP="007B7CF0">
      <w:pPr>
        <w:pStyle w:val="Heading2"/>
      </w:pPr>
      <w:r>
        <w:lastRenderedPageBreak/>
        <w:t>Worked examples</w:t>
      </w:r>
    </w:p>
    <w:p w14:paraId="55BF679E" w14:textId="27DC1896" w:rsidR="001D6E47" w:rsidRDefault="001D6E47" w:rsidP="001D6E47">
      <w:pPr>
        <w:pStyle w:val="Text"/>
      </w:pPr>
      <w:r>
        <w:t xml:space="preserve">The remainder of this paper covers a variety of hypothetical examples illustrating the issues discussed above.  It is </w:t>
      </w:r>
      <w:r w:rsidR="00B54B2E">
        <w:t>(and probably always will be)</w:t>
      </w:r>
      <w:r>
        <w:t xml:space="preserve"> work in progress</w:t>
      </w:r>
      <w:r w:rsidR="00B54B2E">
        <w:t>.</w:t>
      </w:r>
    </w:p>
    <w:p w14:paraId="2AF6FCF4" w14:textId="77777777" w:rsidR="001D6E47" w:rsidRDefault="001D6E47" w:rsidP="001D6E47">
      <w:pPr>
        <w:pStyle w:val="Text"/>
      </w:pPr>
      <w:r>
        <w:t xml:space="preserve">The examples in this note all relate to the network diagram in figure </w:t>
      </w:r>
      <w:r>
        <w:fldChar w:fldCharType="begin"/>
      </w:r>
      <w:r>
        <w:instrText xml:space="preserve"> =1+</w:instrText>
      </w:r>
      <w:r>
        <w:fldChar w:fldCharType="begin"/>
      </w:r>
      <w:r>
        <w:instrText xml:space="preserve"> SEQ \c Figure \* ARABIC </w:instrText>
      </w:r>
      <w:r>
        <w:fldChar w:fldCharType="separate"/>
      </w:r>
      <w:r w:rsidR="00B02CD6">
        <w:rPr>
          <w:noProof/>
        </w:rPr>
        <w:instrText>0</w:instrText>
      </w:r>
      <w:r>
        <w:fldChar w:fldCharType="end"/>
      </w:r>
      <w:r>
        <w:fldChar w:fldCharType="separate"/>
      </w:r>
      <w:r w:rsidR="00B02CD6">
        <w:rPr>
          <w:noProof/>
        </w:rPr>
        <w:t>1</w:t>
      </w:r>
      <w:r>
        <w:fldChar w:fldCharType="end"/>
      </w:r>
      <w:r>
        <w:t>.</w:t>
      </w:r>
    </w:p>
    <w:p w14:paraId="6052ED56" w14:textId="6CD0C134" w:rsidR="001D6E47" w:rsidRDefault="001D6E47" w:rsidP="001D6E47">
      <w:pPr>
        <w:pStyle w:val="Caption"/>
      </w:pPr>
      <w:r>
        <w:t xml:space="preserve">Figure </w:t>
      </w:r>
      <w:r>
        <w:fldChar w:fldCharType="begin"/>
      </w:r>
      <w:r>
        <w:instrText xml:space="preserve"> SEQ Figure \* ARABIC </w:instrText>
      </w:r>
      <w:r>
        <w:fldChar w:fldCharType="separate"/>
      </w:r>
      <w:r w:rsidR="00B02CD6">
        <w:rPr>
          <w:noProof/>
        </w:rPr>
        <w:t>1</w:t>
      </w:r>
      <w:r>
        <w:fldChar w:fldCharType="end"/>
      </w:r>
      <w:r>
        <w:tab/>
        <w:t>Network diagram for the worked example</w:t>
      </w:r>
      <w:r w:rsidR="00A50D44">
        <w:t>s</w:t>
      </w:r>
      <w:r>
        <w:t xml:space="preserve"> in this paper</w:t>
      </w:r>
    </w:p>
    <w:p w14:paraId="6867EE22" w14:textId="7E49EE13" w:rsidR="001D6E47" w:rsidRDefault="006A5C7E" w:rsidP="001D6E47">
      <w:pPr>
        <w:pStyle w:val="Table"/>
      </w:pPr>
      <w:r>
        <w:rPr>
          <w:noProof/>
          <w:lang w:val="en-US" w:bidi="ar-SA"/>
        </w:rPr>
        <w:drawing>
          <wp:inline distT="0" distB="0" distL="0" distR="0" wp14:anchorId="1809BDDF" wp14:editId="56534323">
            <wp:extent cx="5715000" cy="4038600"/>
            <wp:effectExtent l="0" t="0" r="0" b="0"/>
            <wp:docPr id="1" name="Picture 1" descr="Macintosh HD:Users:franck:Documents:MIG: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k:Documents:MIG: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038600"/>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0A40A398" w14:textId="77777777" w:rsidR="00A50D44" w:rsidRDefault="00A50D44" w:rsidP="00A50D44">
      <w:pPr>
        <w:pStyle w:val="TableLastNote"/>
      </w:pPr>
    </w:p>
    <w:p w14:paraId="67269E78" w14:textId="77777777" w:rsidR="009427D3" w:rsidRDefault="007B7CF0" w:rsidP="007B7CF0">
      <w:pPr>
        <w:pStyle w:val="Text"/>
      </w:pPr>
      <w:r>
        <w:t xml:space="preserve">In figure </w:t>
      </w:r>
      <w:r>
        <w:fldChar w:fldCharType="begin"/>
      </w:r>
      <w:r>
        <w:instrText xml:space="preserve"> =0+</w:instrText>
      </w:r>
      <w:r>
        <w:fldChar w:fldCharType="begin"/>
      </w:r>
      <w:r>
        <w:instrText xml:space="preserve"> SEQ \c Figure \* ARABIC </w:instrText>
      </w:r>
      <w:r>
        <w:fldChar w:fldCharType="separate"/>
      </w:r>
      <w:r w:rsidR="00B02CD6">
        <w:rPr>
          <w:noProof/>
        </w:rPr>
        <w:instrText>1</w:instrText>
      </w:r>
      <w:r>
        <w:fldChar w:fldCharType="end"/>
      </w:r>
      <w:r>
        <w:fldChar w:fldCharType="separate"/>
      </w:r>
      <w:r w:rsidR="00B02CD6">
        <w:rPr>
          <w:noProof/>
        </w:rPr>
        <w:t>1</w:t>
      </w:r>
      <w:r>
        <w:fldChar w:fldCharType="end"/>
      </w:r>
      <w:r w:rsidR="009427D3">
        <w:t>:</w:t>
      </w:r>
    </w:p>
    <w:p w14:paraId="58F1F040" w14:textId="77777777" w:rsidR="009427D3" w:rsidRDefault="009427D3" w:rsidP="009427D3">
      <w:pPr>
        <w:pStyle w:val="Text"/>
        <w:numPr>
          <w:ilvl w:val="2"/>
          <w:numId w:val="10"/>
        </w:numPr>
      </w:pPr>
      <w:r>
        <w:t xml:space="preserve">Horizontal lines are </w:t>
      </w:r>
      <w:proofErr w:type="spellStart"/>
      <w:r>
        <w:t>busbars</w:t>
      </w:r>
      <w:proofErr w:type="spellEnd"/>
      <w:r>
        <w:t>.</w:t>
      </w:r>
    </w:p>
    <w:p w14:paraId="4C6C182E" w14:textId="77777777" w:rsidR="009427D3" w:rsidRDefault="009427D3" w:rsidP="009427D3">
      <w:pPr>
        <w:pStyle w:val="Text"/>
        <w:numPr>
          <w:ilvl w:val="2"/>
          <w:numId w:val="10"/>
        </w:numPr>
      </w:pPr>
      <w:r>
        <w:t>V</w:t>
      </w:r>
      <w:r w:rsidR="007B7CF0">
        <w:t>ertical lines might be long circuits or short wires within a substation compound (depending on the</w:t>
      </w:r>
      <w:r>
        <w:t xml:space="preserve"> worked example).</w:t>
      </w:r>
    </w:p>
    <w:p w14:paraId="588C7D50" w14:textId="13F80A30" w:rsidR="009427D3" w:rsidRDefault="007C4682" w:rsidP="009427D3">
      <w:pPr>
        <w:pStyle w:val="Text"/>
        <w:numPr>
          <w:ilvl w:val="2"/>
          <w:numId w:val="10"/>
        </w:numPr>
      </w:pPr>
      <w:r>
        <w:t>A black square is usually a circuit breaker</w:t>
      </w:r>
      <w:r w:rsidR="007B7CF0">
        <w:t xml:space="preserve"> (but might be configured as someth</w:t>
      </w:r>
      <w:r w:rsidR="009427D3">
        <w:t>ing else in some examples).</w:t>
      </w:r>
    </w:p>
    <w:p w14:paraId="780B9797" w14:textId="28C25852" w:rsidR="009427D3" w:rsidRDefault="007C4682" w:rsidP="009427D3">
      <w:pPr>
        <w:pStyle w:val="Text"/>
        <w:numPr>
          <w:ilvl w:val="2"/>
          <w:numId w:val="10"/>
        </w:numPr>
      </w:pPr>
      <w:r>
        <w:t>A white square</w:t>
      </w:r>
      <w:r w:rsidR="007B7CF0">
        <w:t xml:space="preserve"> </w:t>
      </w:r>
      <w:r>
        <w:t xml:space="preserve">is </w:t>
      </w:r>
      <w:r w:rsidR="00E50E42">
        <w:t xml:space="preserve">either </w:t>
      </w:r>
      <w:r>
        <w:t xml:space="preserve">a </w:t>
      </w:r>
      <w:r w:rsidR="007B7CF0">
        <w:t xml:space="preserve">normally open points </w:t>
      </w:r>
      <w:r w:rsidR="00F46DD7">
        <w:t xml:space="preserve">or </w:t>
      </w:r>
      <w:r>
        <w:t xml:space="preserve">a </w:t>
      </w:r>
      <w:r w:rsidR="00F46DD7">
        <w:t>ci</w:t>
      </w:r>
      <w:r>
        <w:t>rcuit breaker</w:t>
      </w:r>
      <w:r w:rsidR="00E50E42">
        <w:t>,</w:t>
      </w:r>
      <w:r w:rsidR="00F46DD7">
        <w:t xml:space="preserve"> depending on the example</w:t>
      </w:r>
      <w:r w:rsidR="007B7CF0">
        <w:t>.</w:t>
      </w:r>
    </w:p>
    <w:p w14:paraId="68DD6437" w14:textId="38944613" w:rsidR="009427D3" w:rsidRDefault="009427D3" w:rsidP="009427D3">
      <w:pPr>
        <w:pStyle w:val="Text"/>
        <w:numPr>
          <w:ilvl w:val="2"/>
          <w:numId w:val="10"/>
        </w:numPr>
      </w:pPr>
      <w:r>
        <w:t xml:space="preserve">There is probably some more complexity </w:t>
      </w:r>
      <w:r w:rsidR="00A270E5">
        <w:t xml:space="preserve">and protection on the 132kV system </w:t>
      </w:r>
      <w:r>
        <w:t>but I did not need to draw it for my examples.</w:t>
      </w:r>
    </w:p>
    <w:p w14:paraId="6727C57A" w14:textId="77777777" w:rsidR="009427D3" w:rsidRDefault="00A50D44" w:rsidP="009427D3">
      <w:pPr>
        <w:pStyle w:val="Text"/>
        <w:numPr>
          <w:ilvl w:val="2"/>
          <w:numId w:val="10"/>
        </w:numPr>
      </w:pPr>
      <w:r>
        <w:lastRenderedPageBreak/>
        <w:t xml:space="preserve">Some of the examples are in Scotland where the 132kV infrastructure (other than </w:t>
      </w:r>
      <w:proofErr w:type="spellStart"/>
      <w:r>
        <w:t>busbars</w:t>
      </w:r>
      <w:proofErr w:type="spellEnd"/>
      <w:r>
        <w:t xml:space="preserve"> X and Y) is not par</w:t>
      </w:r>
      <w:r w:rsidR="009427D3">
        <w:t>t of the distribution network.</w:t>
      </w:r>
    </w:p>
    <w:p w14:paraId="76276BC9" w14:textId="1C6BA674" w:rsidR="007B7CF0" w:rsidRDefault="00A50D44" w:rsidP="009427D3">
      <w:pPr>
        <w:pStyle w:val="Text"/>
        <w:numPr>
          <w:ilvl w:val="2"/>
          <w:numId w:val="10"/>
        </w:numPr>
      </w:pPr>
      <w:r>
        <w:t xml:space="preserve">In some of the examples, parts of the network in figure </w:t>
      </w:r>
      <w:r>
        <w:fldChar w:fldCharType="begin"/>
      </w:r>
      <w:r>
        <w:instrText xml:space="preserve"> =0+</w:instrText>
      </w:r>
      <w:r>
        <w:fldChar w:fldCharType="begin"/>
      </w:r>
      <w:r>
        <w:instrText xml:space="preserve"> SEQ \c Figure \* ARABIC </w:instrText>
      </w:r>
      <w:r>
        <w:fldChar w:fldCharType="separate"/>
      </w:r>
      <w:r w:rsidR="00B02CD6">
        <w:rPr>
          <w:noProof/>
        </w:rPr>
        <w:instrText>1</w:instrText>
      </w:r>
      <w:r>
        <w:fldChar w:fldCharType="end"/>
      </w:r>
      <w:r>
        <w:fldChar w:fldCharType="separate"/>
      </w:r>
      <w:r w:rsidR="00B02CD6">
        <w:rPr>
          <w:noProof/>
        </w:rPr>
        <w:t>1</w:t>
      </w:r>
      <w:r>
        <w:fldChar w:fldCharType="end"/>
      </w:r>
      <w:r>
        <w:t xml:space="preserve"> will be private networks.</w:t>
      </w:r>
    </w:p>
    <w:p w14:paraId="3CFF4540" w14:textId="2B00030B" w:rsidR="00D629BE" w:rsidRDefault="00D629BE" w:rsidP="009427D3">
      <w:pPr>
        <w:pStyle w:val="Text"/>
        <w:numPr>
          <w:ilvl w:val="2"/>
          <w:numId w:val="10"/>
        </w:numPr>
      </w:pPr>
      <w:r>
        <w:t>There won’t be any reactive power unless explicitly specified in an example.</w:t>
      </w:r>
    </w:p>
    <w:p w14:paraId="6FFF910D" w14:textId="77777777" w:rsidR="00A409B8" w:rsidRDefault="00A50D44" w:rsidP="00A50D44">
      <w:pPr>
        <w:pStyle w:val="Heading3"/>
      </w:pPr>
      <w:r>
        <w:t>Example 1</w:t>
      </w:r>
    </w:p>
    <w:p w14:paraId="03A3D6D2" w14:textId="77777777" w:rsidR="00A77B6D" w:rsidRDefault="009427D3" w:rsidP="009427D3">
      <w:pPr>
        <w:pStyle w:val="Text"/>
      </w:pPr>
      <w:r>
        <w:t xml:space="preserve">This example is in </w:t>
      </w:r>
      <w:r w:rsidR="00A77B6D">
        <w:t>Scotland</w:t>
      </w:r>
      <w:r>
        <w:t>, so the X/A1, X/A2, Y/B1 and Y/B2 transformers are par</w:t>
      </w:r>
      <w:r w:rsidR="00A77B6D">
        <w:t>t of the transmission network.</w:t>
      </w:r>
    </w:p>
    <w:p w14:paraId="4576612B" w14:textId="666806CB" w:rsidR="009427D3" w:rsidRDefault="009427D3" w:rsidP="009427D3">
      <w:pPr>
        <w:pStyle w:val="Text"/>
      </w:pPr>
      <w:r>
        <w:t>The agreed</w:t>
      </w:r>
      <w:r w:rsidR="00A77AB9">
        <w:t xml:space="preserve"> transmission exit capacity is 3</w:t>
      </w:r>
      <w:r>
        <w:t>0 MVA at each substation</w:t>
      </w:r>
      <w:r w:rsidR="00A77AB9">
        <w:t xml:space="preserve"> (based on two 3</w:t>
      </w:r>
      <w:r w:rsidR="00A77B6D">
        <w:t>0 MVA transformers at each substation)</w:t>
      </w:r>
      <w:r>
        <w:t>.</w:t>
      </w:r>
      <w:r w:rsidR="00A77B6D">
        <w:t xml:space="preserve">  It would cost enormous amounts of money to increase that.</w:t>
      </w:r>
    </w:p>
    <w:p w14:paraId="796DFD10" w14:textId="77777777" w:rsidR="00A270E5" w:rsidRDefault="00A77AB9" w:rsidP="009427D3">
      <w:pPr>
        <w:pStyle w:val="Text"/>
      </w:pPr>
      <w:r>
        <w:t>The customer is at A2a and has 10</w:t>
      </w:r>
      <w:r w:rsidR="009427D3">
        <w:t xml:space="preserve"> MVA.  </w:t>
      </w:r>
      <w:r w:rsidR="00A270E5">
        <w:t>He consumes 5 MW at peak time.  The sole use assets are valued at £50,000.</w:t>
      </w:r>
    </w:p>
    <w:p w14:paraId="37753961" w14:textId="0B924A13" w:rsidR="009427D3" w:rsidRDefault="00A77B6D" w:rsidP="009427D3">
      <w:pPr>
        <w:pStyle w:val="Text"/>
      </w:pPr>
      <w:r>
        <w:t>There is no load at A1a or A1b</w:t>
      </w:r>
      <w:r w:rsidR="009427D3">
        <w:t>.</w:t>
      </w:r>
    </w:p>
    <w:p w14:paraId="1ED12B99" w14:textId="29327019" w:rsidR="009427D3" w:rsidRDefault="009427D3" w:rsidP="009427D3">
      <w:pPr>
        <w:pStyle w:val="Text"/>
      </w:pPr>
      <w:r>
        <w:t xml:space="preserve">There is </w:t>
      </w:r>
      <w:r w:rsidR="00A77AB9">
        <w:t>49</w:t>
      </w:r>
      <w:r>
        <w:t xml:space="preserve"> MVA of load (after taking account of diversity) between L1a, L1b, L2a, L2b, B1b, B2a and B2b.</w:t>
      </w:r>
      <w:r w:rsidR="00E50E42">
        <w:t xml:space="preserve">  The connections between C1 and C2 and between B1 and B2 are run normally closed.</w:t>
      </w:r>
    </w:p>
    <w:p w14:paraId="4EDF22EC" w14:textId="1541AD4F" w:rsidR="009427D3" w:rsidRDefault="00A77B6D" w:rsidP="009427D3">
      <w:pPr>
        <w:pStyle w:val="Text"/>
      </w:pPr>
      <w:r>
        <w:t xml:space="preserve">The A2/C1 circuit is 10 </w:t>
      </w:r>
      <w:r w:rsidR="009427D3">
        <w:t>miles long in a city centre</w:t>
      </w:r>
      <w:r>
        <w:t>,</w:t>
      </w:r>
      <w:r w:rsidR="009427D3">
        <w:t xml:space="preserve"> and is </w:t>
      </w:r>
      <w:r>
        <w:t xml:space="preserve">not safe to operate above </w:t>
      </w:r>
      <w:r w:rsidR="00A77AB9">
        <w:t>20</w:t>
      </w:r>
      <w:r>
        <w:t xml:space="preserve"> MVA</w:t>
      </w:r>
      <w:r w:rsidR="009427D3">
        <w:t>.</w:t>
      </w:r>
      <w:r>
        <w:t xml:space="preserve">  Reinforcing it with a parallel cable it will cost £10 million.</w:t>
      </w:r>
    </w:p>
    <w:p w14:paraId="5FC7F901" w14:textId="1FF03287" w:rsidR="009427D3" w:rsidRDefault="00A77B6D" w:rsidP="009427D3">
      <w:pPr>
        <w:pStyle w:val="Text"/>
      </w:pPr>
      <w:r>
        <w:t>The B1/C2 circuit has negligible length: the substations are co-located.</w:t>
      </w:r>
    </w:p>
    <w:p w14:paraId="5CCF2721" w14:textId="2F77315D" w:rsidR="00A77B6D" w:rsidRDefault="00A77B6D" w:rsidP="009427D3">
      <w:pPr>
        <w:pStyle w:val="Text"/>
      </w:pPr>
      <w:r>
        <w:t xml:space="preserve">The relevant network group is </w:t>
      </w:r>
      <w:r w:rsidR="00E50E42">
        <w:t>a</w:t>
      </w:r>
      <w:r>
        <w:t xml:space="preserve"> level 2 </w:t>
      </w:r>
      <w:proofErr w:type="gramStart"/>
      <w:r>
        <w:t>group</w:t>
      </w:r>
      <w:proofErr w:type="gramEnd"/>
      <w:r w:rsidR="00E50E42">
        <w:t xml:space="preserve"> in which the only potential reinforcement project is for the A2/C1 link</w:t>
      </w:r>
      <w:r>
        <w:t xml:space="preserve">.  The group load is </w:t>
      </w:r>
      <w:r w:rsidR="00A77AB9">
        <w:t>59</w:t>
      </w:r>
      <w:r>
        <w:t xml:space="preserve"> MVA</w:t>
      </w:r>
      <w:r w:rsidR="00A77AB9">
        <w:t xml:space="preserve"> (conveniently avoiding the complications of n–2 analysis in FCP)</w:t>
      </w:r>
      <w:r>
        <w:t xml:space="preserve">.  </w:t>
      </w:r>
      <w:r w:rsidR="00A77AB9">
        <w:t xml:space="preserve">Load growth is assessed at 2 per cent a year.  </w:t>
      </w:r>
      <w:r>
        <w:t>Reinforcement</w:t>
      </w:r>
      <w:r w:rsidR="00A77AB9" w:rsidRPr="00A77AB9">
        <w:t xml:space="preserve"> </w:t>
      </w:r>
      <w:r w:rsidR="00A77AB9">
        <w:t>costing £10 million</w:t>
      </w:r>
      <w:r>
        <w:t xml:space="preserve"> is </w:t>
      </w:r>
      <w:r w:rsidR="00A77AB9">
        <w:t xml:space="preserve">therefore </w:t>
      </w:r>
      <w:r w:rsidR="00832AA8">
        <w:t>needed in year 2</w:t>
      </w:r>
      <w:r w:rsidR="00A77AB9">
        <w:t xml:space="preserve"> to meet the n–1 contingency of </w:t>
      </w:r>
      <w:proofErr w:type="gramStart"/>
      <w:r w:rsidR="00A77AB9">
        <w:t>a</w:t>
      </w:r>
      <w:proofErr w:type="gramEnd"/>
      <w:r w:rsidR="00A77AB9">
        <w:t xml:space="preserve"> Y/B1 or Y/B2 outage with an increased load of 60.2MVA</w:t>
      </w:r>
      <w:r>
        <w:t>.  The FCP</w:t>
      </w:r>
      <w:r w:rsidR="00A77AB9">
        <w:t xml:space="preserve"> discount rate is 5.6 per cent.  The FCP formula </w:t>
      </w:r>
      <w:r w:rsidR="00832AA8">
        <w:t>is</w:t>
      </w:r>
      <w:r w:rsidR="00A77AB9">
        <w:t>:</w:t>
      </w:r>
    </w:p>
    <w:p w14:paraId="31258DA1" w14:textId="3BF89CB5" w:rsidR="00A77AB9" w:rsidRDefault="00832AA8" w:rsidP="00A77AB9">
      <w:pPr>
        <w:pStyle w:val="Equation"/>
      </w:pPr>
      <w:r>
        <w:t>0.056*10000</w:t>
      </w:r>
      <w:r w:rsidR="00A77AB9">
        <w:t>000/</w:t>
      </w:r>
      <w:r>
        <w:t>60200*(59000/60200)^(2*0.056/0.02-1)/(1-</w:t>
      </w:r>
      <w:proofErr w:type="gramStart"/>
      <w:r>
        <w:t>exp(</w:t>
      </w:r>
      <w:proofErr w:type="gramEnd"/>
      <w:r>
        <w:t>-0.056*10))</w:t>
      </w:r>
    </w:p>
    <w:p w14:paraId="1AB41697" w14:textId="117897E7" w:rsidR="00832AA8" w:rsidRDefault="00832AA8" w:rsidP="00A77AB9">
      <w:pPr>
        <w:pStyle w:val="Equation"/>
      </w:pPr>
      <w:r>
        <w:t>FCP charge 1 = £19.775/kVA/year</w:t>
      </w:r>
    </w:p>
    <w:p w14:paraId="7F1C7773" w14:textId="77777777" w:rsidR="00A270E5" w:rsidRDefault="00A270E5" w:rsidP="00832AA8">
      <w:pPr>
        <w:pStyle w:val="Text"/>
      </w:pPr>
      <w:r>
        <w:t xml:space="preserve">Customer A2a is classified as 0000 both under the current rules and under solution C, because the two transformers X/A1 and X/A2 provide sufficient redundant capacity.  A2a would get a secure supply even if the A2/C1 cable </w:t>
      </w:r>
      <w:proofErr w:type="gramStart"/>
      <w:r>
        <w:t>was</w:t>
      </w:r>
      <w:proofErr w:type="gramEnd"/>
      <w:r>
        <w:t xml:space="preserve"> decommissioned.</w:t>
      </w:r>
    </w:p>
    <w:p w14:paraId="182711F7" w14:textId="77777777" w:rsidR="00A270E5" w:rsidRDefault="00A270E5" w:rsidP="00832AA8">
      <w:pPr>
        <w:pStyle w:val="Text"/>
      </w:pPr>
      <w:r>
        <w:t>At present, customer A2a pays FCP.  Under solution A or solution B, he would not pay.  Using data from SPEN SPD to populate models based on MIG issue 70:</w:t>
      </w:r>
    </w:p>
    <w:p w14:paraId="4FEBC47C" w14:textId="77777777" w:rsidR="00A270E5" w:rsidRDefault="00A270E5" w:rsidP="00A270E5">
      <w:pPr>
        <w:pStyle w:val="Text"/>
        <w:numPr>
          <w:ilvl w:val="2"/>
          <w:numId w:val="10"/>
        </w:numPr>
      </w:pPr>
      <w:r>
        <w:t>At present, this customer would pay £276,678 a year.</w:t>
      </w:r>
    </w:p>
    <w:p w14:paraId="19557C4E" w14:textId="77777777" w:rsidR="00907625" w:rsidRDefault="00907625" w:rsidP="00907625">
      <w:pPr>
        <w:pStyle w:val="Text"/>
        <w:numPr>
          <w:ilvl w:val="2"/>
          <w:numId w:val="10"/>
        </w:numPr>
      </w:pPr>
      <w:r>
        <w:lastRenderedPageBreak/>
        <w:t>Under solution B, assuming that the implementation of solution B has no impact on DNO-wide aggregates, he would pay £79,213.</w:t>
      </w:r>
    </w:p>
    <w:p w14:paraId="6F428A78" w14:textId="3662AEA7" w:rsidR="00A270E5" w:rsidRDefault="00A270E5" w:rsidP="00A270E5">
      <w:pPr>
        <w:pStyle w:val="Text"/>
        <w:numPr>
          <w:ilvl w:val="2"/>
          <w:numId w:val="10"/>
        </w:numPr>
      </w:pPr>
      <w:r>
        <w:t>Under solution A (removing charge 1 from demand tariffs altogethe</w:t>
      </w:r>
      <w:r w:rsidR="00907625">
        <w:t>r), he would pay £80,308 a year.</w:t>
      </w:r>
    </w:p>
    <w:p w14:paraId="51B71259" w14:textId="77777777" w:rsidR="001576BE" w:rsidRDefault="00907625" w:rsidP="00907625">
      <w:pPr>
        <w:pStyle w:val="Text"/>
      </w:pPr>
      <w:r>
        <w:t xml:space="preserve">In this example, the current arrangements are leading to an overcharge of nearly £200,000 a year </w:t>
      </w:r>
      <w:r w:rsidR="0002631B">
        <w:t>to a 10 MVA customer</w:t>
      </w:r>
      <w:r>
        <w:t>.</w:t>
      </w:r>
      <w:r w:rsidR="0002631B">
        <w:t xml:space="preserve">  </w:t>
      </w:r>
    </w:p>
    <w:p w14:paraId="191C54DC" w14:textId="77777777" w:rsidR="001576BE" w:rsidRDefault="00A409B8" w:rsidP="00907625">
      <w:pPr>
        <w:pStyle w:val="Text"/>
      </w:pPr>
      <w:r>
        <w:t xml:space="preserve">The overcharge is unjustified because the </w:t>
      </w:r>
      <w:proofErr w:type="gramStart"/>
      <w:r>
        <w:t>investment in network reinforcement is not needed by the customer in question</w:t>
      </w:r>
      <w:proofErr w:type="gramEnd"/>
      <w:r>
        <w:t xml:space="preserve">, instead it is needed to supply some other customers out of L1a, L1b, L2a, L2b, B1b, B2a and B2b (this is </w:t>
      </w:r>
      <w:r w:rsidR="00D629BE">
        <w:t xml:space="preserve">MIG </w:t>
      </w:r>
      <w:r>
        <w:t xml:space="preserve">issue 63).  </w:t>
      </w:r>
    </w:p>
    <w:p w14:paraId="7A54373F" w14:textId="77777777" w:rsidR="001576BE" w:rsidRDefault="00A409B8" w:rsidP="00907625">
      <w:pPr>
        <w:pStyle w:val="Text"/>
      </w:pPr>
      <w:r>
        <w:t xml:space="preserve">The overcharge is </w:t>
      </w:r>
      <w:r w:rsidR="001576BE">
        <w:t xml:space="preserve">also </w:t>
      </w:r>
      <w:r>
        <w:t>unjustified because the network being reinforced does not serve the customer in question (this is</w:t>
      </w:r>
      <w:r w:rsidR="00D629BE" w:rsidRPr="00D629BE">
        <w:t xml:space="preserve"> </w:t>
      </w:r>
      <w:r w:rsidR="00D629BE">
        <w:t>MIG</w:t>
      </w:r>
      <w:r>
        <w:t xml:space="preserve"> issue 47).  </w:t>
      </w:r>
    </w:p>
    <w:p w14:paraId="00E636D1" w14:textId="69A2305B" w:rsidR="00A270E5" w:rsidRDefault="00A409B8" w:rsidP="00907625">
      <w:pPr>
        <w:pStyle w:val="Text"/>
      </w:pPr>
      <w:r>
        <w:t xml:space="preserve">Either solution A or solution B would solve </w:t>
      </w:r>
      <w:r w:rsidR="001F20D2">
        <w:t>both these</w:t>
      </w:r>
      <w:r>
        <w:t xml:space="preserve"> problem</w:t>
      </w:r>
      <w:r w:rsidR="001F20D2">
        <w:t>s</w:t>
      </w:r>
      <w:r w:rsidR="001576BE">
        <w:t xml:space="preserve"> in this case</w:t>
      </w:r>
      <w:r>
        <w:t>, with or without solution C.</w:t>
      </w:r>
    </w:p>
    <w:p w14:paraId="1B5F18DF" w14:textId="013A9351" w:rsidR="00D629BE" w:rsidRDefault="00D629BE" w:rsidP="00907625">
      <w:pPr>
        <w:pStyle w:val="Text"/>
      </w:pPr>
      <w:r>
        <w:t xml:space="preserve">The circumstances targeted by MIG issue 49 are present here: power flow modelling would </w:t>
      </w:r>
      <w:r w:rsidR="00FB5360">
        <w:t xml:space="preserve">probably </w:t>
      </w:r>
      <w:r>
        <w:t>say that a change in consumption at A2a leads to a change of flow on the A2/C1 circuit.  But there is no valid economic or business problem iden</w:t>
      </w:r>
      <w:r w:rsidR="001576BE">
        <w:t xml:space="preserve">tified by issue 49 in this case.  It </w:t>
      </w:r>
      <w:r>
        <w:t>is the</w:t>
      </w:r>
      <w:r w:rsidR="00FB5360">
        <w:t xml:space="preserve"> principle of MIG</w:t>
      </w:r>
      <w:r>
        <w:t xml:space="preserve"> issue </w:t>
      </w:r>
      <w:r w:rsidR="00FB5360">
        <w:t>49</w:t>
      </w:r>
      <w:r w:rsidR="001576BE">
        <w:t xml:space="preserve"> </w:t>
      </w:r>
      <w:proofErr w:type="gramStart"/>
      <w:r w:rsidR="001576BE">
        <w:t>itself</w:t>
      </w:r>
      <w:proofErr w:type="gramEnd"/>
      <w:r w:rsidR="00FB5360">
        <w:t xml:space="preserve"> </w:t>
      </w:r>
      <w:r>
        <w:t>which is wrong in this case.</w:t>
      </w:r>
    </w:p>
    <w:p w14:paraId="17CEDCFA" w14:textId="7F65DC9C" w:rsidR="00A409B8" w:rsidRDefault="00A409B8" w:rsidP="00A409B8">
      <w:pPr>
        <w:pStyle w:val="Heading3"/>
      </w:pPr>
      <w:r>
        <w:t>Example 2</w:t>
      </w:r>
    </w:p>
    <w:p w14:paraId="7E723B9C" w14:textId="5ECDF557" w:rsidR="00A409B8" w:rsidRDefault="00A409B8" w:rsidP="00A409B8">
      <w:pPr>
        <w:pStyle w:val="Text"/>
      </w:pPr>
      <w:r>
        <w:t>This example is similar to example 1, with the following differences:</w:t>
      </w:r>
    </w:p>
    <w:p w14:paraId="1B6F3104" w14:textId="6711F0C3" w:rsidR="00A409B8" w:rsidRDefault="00A409B8" w:rsidP="00A409B8">
      <w:pPr>
        <w:pStyle w:val="Text"/>
        <w:numPr>
          <w:ilvl w:val="2"/>
          <w:numId w:val="10"/>
        </w:numPr>
      </w:pPr>
      <w:r>
        <w:t>There is now 39 MVA of d</w:t>
      </w:r>
      <w:r w:rsidR="00E50E42">
        <w:t>emand served out of A1a and A1b.</w:t>
      </w:r>
    </w:p>
    <w:p w14:paraId="126C7D5C" w14:textId="364E477A" w:rsidR="00E50E42" w:rsidRDefault="00E50E42" w:rsidP="00A409B8">
      <w:pPr>
        <w:pStyle w:val="Text"/>
        <w:numPr>
          <w:ilvl w:val="2"/>
          <w:numId w:val="10"/>
        </w:numPr>
      </w:pPr>
      <w:r>
        <w:t>The connection between A1 and A2 is normally closed.</w:t>
      </w:r>
    </w:p>
    <w:p w14:paraId="18D86105" w14:textId="23583D7A" w:rsidR="00A409B8" w:rsidRDefault="00A409B8" w:rsidP="00A409B8">
      <w:pPr>
        <w:pStyle w:val="Text"/>
        <w:numPr>
          <w:ilvl w:val="2"/>
          <w:numId w:val="10"/>
        </w:numPr>
      </w:pPr>
      <w:r>
        <w:t>The total load across L1a, L1b, L2a, L2b, B1b, B2a and B2b is now 10 MVA.</w:t>
      </w:r>
    </w:p>
    <w:p w14:paraId="18057851" w14:textId="24E57BF1" w:rsidR="00E50E42" w:rsidRPr="00A409B8" w:rsidRDefault="00E50E42" w:rsidP="00A409B8">
      <w:pPr>
        <w:pStyle w:val="Text"/>
        <w:numPr>
          <w:ilvl w:val="2"/>
          <w:numId w:val="10"/>
        </w:numPr>
      </w:pPr>
      <w:r>
        <w:t>The connection between B1 and B2 is normally open.</w:t>
      </w:r>
    </w:p>
    <w:p w14:paraId="7E71D4D9" w14:textId="2E923E46" w:rsidR="00A409B8" w:rsidRDefault="00A409B8" w:rsidP="00A409B8">
      <w:pPr>
        <w:pStyle w:val="Text"/>
      </w:pPr>
      <w:r>
        <w:t>The FCP calculation is assumed to be the same (although the contingency flow in the C1/A2 circuit is in the opposite direction than in example 1).</w:t>
      </w:r>
    </w:p>
    <w:p w14:paraId="74E9AC34" w14:textId="77777777" w:rsidR="00D629BE" w:rsidRDefault="00A409B8" w:rsidP="00A409B8">
      <w:pPr>
        <w:pStyle w:val="Text"/>
      </w:pPr>
      <w:r>
        <w:t>The customer at A2a is</w:t>
      </w:r>
      <w:r w:rsidR="00D629BE">
        <w:t xml:space="preserve"> 0000 under the current rules.</w:t>
      </w:r>
    </w:p>
    <w:p w14:paraId="650B114D" w14:textId="1BA1DF97" w:rsidR="00A409B8" w:rsidRDefault="00A409B8" w:rsidP="00A409B8">
      <w:pPr>
        <w:pStyle w:val="Text"/>
      </w:pPr>
      <w:r>
        <w:t xml:space="preserve">Under solution C, that customer would be reclassified as 0010, because </w:t>
      </w:r>
      <w:r w:rsidR="000F17D8">
        <w:t>the network</w:t>
      </w:r>
      <w:r>
        <w:t xml:space="preserve"> depends on the C1/A2 circuit to supply the load on the A2 </w:t>
      </w:r>
      <w:proofErr w:type="spellStart"/>
      <w:r>
        <w:t>busbar</w:t>
      </w:r>
      <w:proofErr w:type="spellEnd"/>
      <w:r>
        <w:t xml:space="preserve"> in the event of an outage of the X/A2 transformer (as the X/A1 transformer does not have sufficient capacity to supply A1a, A1b and A2a on its own).</w:t>
      </w:r>
    </w:p>
    <w:p w14:paraId="0F26637C" w14:textId="681A8B7D" w:rsidR="005541C2" w:rsidRDefault="00D629BE" w:rsidP="005541C2">
      <w:pPr>
        <w:pStyle w:val="Text"/>
      </w:pPr>
      <w:r>
        <w:t xml:space="preserve">Let’s assume that impedances are such that an additional 100kW of load at A2a would be met by 40kW through X/A1, 40kW through X/A2 and 20kW through C1/A2, and similarly that 20 per cent of incremental load anywhere across L1a, L1b, L2a, L2b, B1b, B2a and B2b comes through C1/A2.  The modelled flow on C1/A2 is </w:t>
      </w:r>
      <w:r>
        <w:lastRenderedPageBreak/>
        <w:t xml:space="preserve">7.8MW, analysed as 7.8MW for A1a/A1b, plus 2MW going towards A2a, less 2MW going towards L1a, L1b, L2a, L2b, B1b, B2a and B2b.  </w:t>
      </w:r>
      <w:r w:rsidR="001F5CD7">
        <w:t>The</w:t>
      </w:r>
      <w:r>
        <w:t xml:space="preserve"> </w:t>
      </w:r>
      <w:r w:rsidR="005541C2">
        <w:t>numerator in the network use factor calculation for A2a is therefore:</w:t>
      </w:r>
    </w:p>
    <w:p w14:paraId="359F0FE0" w14:textId="4006EBB4" w:rsidR="005541C2" w:rsidRDefault="005541C2" w:rsidP="005541C2">
      <w:pPr>
        <w:pStyle w:val="Equation"/>
      </w:pPr>
      <w:r>
        <w:t>0.063*</w:t>
      </w:r>
      <w:r w:rsidR="00053731">
        <w:t>10000000*2000/(2000+2000+7800)/10</w:t>
      </w:r>
      <w:r>
        <w:t>000 = £</w:t>
      </w:r>
      <w:r w:rsidR="00053731">
        <w:t>10.678</w:t>
      </w:r>
      <w:r>
        <w:t>/kW/year</w:t>
      </w:r>
    </w:p>
    <w:p w14:paraId="74187714" w14:textId="77777777" w:rsidR="0007443F" w:rsidRDefault="0007443F" w:rsidP="005541C2">
      <w:pPr>
        <w:pStyle w:val="Text"/>
      </w:pPr>
      <w:r>
        <w:t>(This calculation probably entails some approximations in the handling of diversity, but is hopefully in the right ballpark.)</w:t>
      </w:r>
    </w:p>
    <w:p w14:paraId="511A5144" w14:textId="699D251C" w:rsidR="001F5CD7" w:rsidRDefault="00E43E21" w:rsidP="005541C2">
      <w:pPr>
        <w:pStyle w:val="Text"/>
      </w:pPr>
      <w:r>
        <w:t>For SPEN SPD, the 500 MW model comes to £13.4/kW/year at EHV (on a simultaneous maximum load basis), which implies an asset value of £4.3 million for a pair of 20MVA</w:t>
      </w:r>
      <w:r w:rsidR="00B32A19">
        <w:t>+</w:t>
      </w:r>
      <w:r>
        <w:t xml:space="preserve"> cables — a plausible figure</w:t>
      </w:r>
      <w:r w:rsidR="001F5CD7">
        <w:t xml:space="preserve"> (</w:t>
      </w:r>
      <w:r w:rsidR="00B32A19">
        <w:t xml:space="preserve">the </w:t>
      </w:r>
      <w:r w:rsidR="001F5CD7">
        <w:t xml:space="preserve">C1/A2 </w:t>
      </w:r>
      <w:r w:rsidR="00B32A19">
        <w:t xml:space="preserve">cable </w:t>
      </w:r>
      <w:r w:rsidR="001F5CD7">
        <w:t xml:space="preserve">is </w:t>
      </w:r>
      <w:r w:rsidR="00B32A19">
        <w:t xml:space="preserve">much </w:t>
      </w:r>
      <w:r w:rsidR="001F5CD7">
        <w:t>more</w:t>
      </w:r>
      <w:r w:rsidR="00B32A19">
        <w:t xml:space="preserve"> than averagely </w:t>
      </w:r>
      <w:r w:rsidR="001F5CD7">
        <w:t>expensive at £10 million).</w:t>
      </w:r>
    </w:p>
    <w:p w14:paraId="2777009C" w14:textId="4D2DF837" w:rsidR="00D629BE" w:rsidRDefault="00E43E21" w:rsidP="005541C2">
      <w:pPr>
        <w:pStyle w:val="Text"/>
      </w:pPr>
      <w:r>
        <w:t>Whilst the denominator of the</w:t>
      </w:r>
      <w:r w:rsidR="001F5CD7">
        <w:t xml:space="preserve"> network use factor calculation will be different from the 500MW model figure, they </w:t>
      </w:r>
      <w:r w:rsidR="00053731">
        <w:t>might</w:t>
      </w:r>
      <w:r w:rsidR="001F5CD7">
        <w:t xml:space="preserve"> to be </w:t>
      </w:r>
      <w:r w:rsidR="00053731">
        <w:t>similar</w:t>
      </w:r>
      <w:r w:rsidR="001F5CD7">
        <w:t xml:space="preserve">.  </w:t>
      </w:r>
      <w:r w:rsidR="00053731">
        <w:t xml:space="preserve">Let’s assume that </w:t>
      </w:r>
      <w:r w:rsidR="001F5CD7">
        <w:t xml:space="preserve">the network use factor for customer A2a </w:t>
      </w:r>
      <w:r w:rsidR="00053731">
        <w:t>is 0.8</w:t>
      </w:r>
      <w:r w:rsidR="001F5CD7">
        <w:t>.</w:t>
      </w:r>
    </w:p>
    <w:p w14:paraId="15C71D1F" w14:textId="132253C7" w:rsidR="004203E4" w:rsidRDefault="004203E4" w:rsidP="005541C2">
      <w:pPr>
        <w:pStyle w:val="Text"/>
      </w:pPr>
      <w:r>
        <w:t xml:space="preserve">This calculation ignores the condition </w:t>
      </w:r>
      <w:proofErr w:type="gramStart"/>
      <w:r w:rsidR="00B32A19">
        <w:t>3 work</w:t>
      </w:r>
      <w:proofErr w:type="gramEnd"/>
      <w:r w:rsidR="00B32A19">
        <w:t xml:space="preserve"> (following Ofgem’s lead</w:t>
      </w:r>
      <w:r w:rsidR="000F17D8">
        <w:t xml:space="preserve"> in this respect</w:t>
      </w:r>
      <w:r w:rsidR="00B32A19">
        <w:t xml:space="preserve">); </w:t>
      </w:r>
      <w:r>
        <w:t>but if I understand condition 3 correctly it would not make much difference here since the contingency flow on the cable is about the same as its capacity.</w:t>
      </w:r>
    </w:p>
    <w:p w14:paraId="239E9378" w14:textId="25E957B6" w:rsidR="001F5CD7" w:rsidRDefault="0007443F" w:rsidP="00A409B8">
      <w:pPr>
        <w:pStyle w:val="Text"/>
      </w:pPr>
      <w:r>
        <w:t xml:space="preserve">Table </w:t>
      </w:r>
      <w:r>
        <w:fldChar w:fldCharType="begin"/>
      </w:r>
      <w:r>
        <w:instrText xml:space="preserve"> =1+</w:instrText>
      </w:r>
      <w:r>
        <w:fldChar w:fldCharType="begin"/>
      </w:r>
      <w:r>
        <w:instrText xml:space="preserve"> SEQ \c Table \* ARABIC </w:instrText>
      </w:r>
      <w:r>
        <w:fldChar w:fldCharType="separate"/>
      </w:r>
      <w:r w:rsidR="00B02CD6">
        <w:rPr>
          <w:noProof/>
        </w:rPr>
        <w:instrText>1</w:instrText>
      </w:r>
      <w:r>
        <w:fldChar w:fldCharType="end"/>
      </w:r>
      <w:r>
        <w:fldChar w:fldCharType="separate"/>
      </w:r>
      <w:r w:rsidR="00B02CD6">
        <w:rPr>
          <w:noProof/>
        </w:rPr>
        <w:t>2</w:t>
      </w:r>
      <w:r>
        <w:fldChar w:fldCharType="end"/>
      </w:r>
      <w:r>
        <w:t xml:space="preserve"> shows e</w:t>
      </w:r>
      <w:r w:rsidR="001F5CD7">
        <w:t xml:space="preserve">stimated charges for </w:t>
      </w:r>
      <w:r w:rsidR="00B32A19">
        <w:t xml:space="preserve">customer </w:t>
      </w:r>
      <w:r w:rsidR="001F5CD7">
        <w:t>A2a under different options.</w:t>
      </w:r>
    </w:p>
    <w:p w14:paraId="15DA5034" w14:textId="31342946" w:rsidR="001F5CD7" w:rsidRDefault="004203E4" w:rsidP="004203E4">
      <w:pPr>
        <w:pStyle w:val="Caption"/>
      </w:pPr>
      <w:r>
        <w:t xml:space="preserve">Table </w:t>
      </w:r>
      <w:r>
        <w:fldChar w:fldCharType="begin"/>
      </w:r>
      <w:r>
        <w:instrText xml:space="preserve"> SEQ Table \* ARABIC </w:instrText>
      </w:r>
      <w:r>
        <w:fldChar w:fldCharType="separate"/>
      </w:r>
      <w:r w:rsidR="00B02CD6">
        <w:rPr>
          <w:noProof/>
        </w:rPr>
        <w:t>2</w:t>
      </w:r>
      <w:r>
        <w:fldChar w:fldCharType="end"/>
      </w:r>
      <w:r>
        <w:tab/>
        <w:t xml:space="preserve">Example 2 </w:t>
      </w:r>
      <w:r w:rsidR="00AA4149">
        <w:t>EDCM charge estimates</w:t>
      </w:r>
    </w:p>
    <w:tbl>
      <w:tblPr>
        <w:tblStyle w:val="TableGrid"/>
        <w:tblW w:w="0" w:type="auto"/>
        <w:tblLook w:val="04A0" w:firstRow="1" w:lastRow="0" w:firstColumn="1" w:lastColumn="0" w:noHBand="0" w:noVBand="1"/>
      </w:tblPr>
      <w:tblGrid>
        <w:gridCol w:w="3078"/>
        <w:gridCol w:w="3079"/>
        <w:gridCol w:w="3079"/>
      </w:tblGrid>
      <w:tr w:rsidR="004203E4" w14:paraId="38E52E33" w14:textId="77777777" w:rsidTr="004203E4">
        <w:tc>
          <w:tcPr>
            <w:tcW w:w="3078" w:type="dxa"/>
          </w:tcPr>
          <w:p w14:paraId="7467BC9F" w14:textId="77777777" w:rsidR="004203E4" w:rsidRDefault="004203E4" w:rsidP="004203E4">
            <w:pPr>
              <w:pStyle w:val="Table"/>
            </w:pPr>
          </w:p>
        </w:tc>
        <w:tc>
          <w:tcPr>
            <w:tcW w:w="3079" w:type="dxa"/>
          </w:tcPr>
          <w:p w14:paraId="4ABC1DA4" w14:textId="175C0831" w:rsidR="004203E4" w:rsidRDefault="004203E4" w:rsidP="004203E4">
            <w:pPr>
              <w:pStyle w:val="Table"/>
              <w:jc w:val="center"/>
            </w:pPr>
            <w:r>
              <w:t>Current categorisation</w:t>
            </w:r>
          </w:p>
        </w:tc>
        <w:tc>
          <w:tcPr>
            <w:tcW w:w="3079" w:type="dxa"/>
          </w:tcPr>
          <w:p w14:paraId="2DC9FC6A" w14:textId="2DF1E808" w:rsidR="004203E4" w:rsidRDefault="004203E4" w:rsidP="004203E4">
            <w:pPr>
              <w:pStyle w:val="Table"/>
              <w:jc w:val="center"/>
            </w:pPr>
            <w:r>
              <w:t>Solution C</w:t>
            </w:r>
          </w:p>
        </w:tc>
      </w:tr>
      <w:tr w:rsidR="004203E4" w14:paraId="59FA9294" w14:textId="77777777" w:rsidTr="004203E4">
        <w:tc>
          <w:tcPr>
            <w:tcW w:w="3078" w:type="dxa"/>
          </w:tcPr>
          <w:p w14:paraId="4B2A1D23" w14:textId="0372006F" w:rsidR="004203E4" w:rsidRDefault="004203E4" w:rsidP="004203E4">
            <w:pPr>
              <w:pStyle w:val="Table"/>
            </w:pPr>
            <w:r>
              <w:t>Current FCP</w:t>
            </w:r>
            <w:r w:rsidR="00AB276D">
              <w:t xml:space="preserve"> application</w:t>
            </w:r>
          </w:p>
        </w:tc>
        <w:tc>
          <w:tcPr>
            <w:tcW w:w="3079" w:type="dxa"/>
          </w:tcPr>
          <w:p w14:paraId="29ACB3EA" w14:textId="5E9D024B" w:rsidR="004203E4" w:rsidRDefault="004203E4" w:rsidP="004203E4">
            <w:pPr>
              <w:pStyle w:val="Table"/>
              <w:jc w:val="right"/>
            </w:pPr>
            <w:r>
              <w:t>£276,678 a year</w:t>
            </w:r>
          </w:p>
        </w:tc>
        <w:tc>
          <w:tcPr>
            <w:tcW w:w="3079" w:type="dxa"/>
          </w:tcPr>
          <w:p w14:paraId="617ED692" w14:textId="075A8949" w:rsidR="004203E4" w:rsidRDefault="00053731" w:rsidP="00B32A19">
            <w:pPr>
              <w:pStyle w:val="Table"/>
              <w:jc w:val="right"/>
            </w:pPr>
            <w:r>
              <w:t>£381,068 a year</w:t>
            </w:r>
          </w:p>
        </w:tc>
      </w:tr>
      <w:tr w:rsidR="004203E4" w14:paraId="629414F4" w14:textId="77777777" w:rsidTr="004203E4">
        <w:tc>
          <w:tcPr>
            <w:tcW w:w="3078" w:type="dxa"/>
          </w:tcPr>
          <w:p w14:paraId="7CD6150C" w14:textId="345F5559" w:rsidR="004203E4" w:rsidRDefault="004203E4" w:rsidP="004203E4">
            <w:pPr>
              <w:pStyle w:val="Table"/>
            </w:pPr>
            <w:r>
              <w:t>Solution A</w:t>
            </w:r>
          </w:p>
        </w:tc>
        <w:tc>
          <w:tcPr>
            <w:tcW w:w="3079" w:type="dxa"/>
          </w:tcPr>
          <w:p w14:paraId="3BF27308" w14:textId="4AF0EAAD" w:rsidR="004203E4" w:rsidRDefault="004203E4" w:rsidP="00B32A19">
            <w:pPr>
              <w:pStyle w:val="Table"/>
              <w:jc w:val="right"/>
            </w:pPr>
            <w:r>
              <w:t>£</w:t>
            </w:r>
            <w:r w:rsidR="00B32A19">
              <w:t>80</w:t>
            </w:r>
            <w:r>
              <w:t>,</w:t>
            </w:r>
            <w:r w:rsidR="00B32A19">
              <w:t xml:space="preserve">308 </w:t>
            </w:r>
            <w:r>
              <w:t>a year</w:t>
            </w:r>
          </w:p>
        </w:tc>
        <w:tc>
          <w:tcPr>
            <w:tcW w:w="3079" w:type="dxa"/>
          </w:tcPr>
          <w:p w14:paraId="5F33D58B" w14:textId="7FFB6446" w:rsidR="004203E4" w:rsidRDefault="004203E4" w:rsidP="00053731">
            <w:pPr>
              <w:pStyle w:val="Table"/>
              <w:jc w:val="right"/>
            </w:pPr>
            <w:r>
              <w:t>£</w:t>
            </w:r>
            <w:r w:rsidR="00053731">
              <w:t>200,393</w:t>
            </w:r>
            <w:r w:rsidR="00B32A19">
              <w:t xml:space="preserve"> </w:t>
            </w:r>
            <w:r>
              <w:t>a year</w:t>
            </w:r>
          </w:p>
        </w:tc>
      </w:tr>
      <w:tr w:rsidR="004203E4" w14:paraId="5FE67975" w14:textId="77777777" w:rsidTr="004203E4">
        <w:tc>
          <w:tcPr>
            <w:tcW w:w="3078" w:type="dxa"/>
          </w:tcPr>
          <w:p w14:paraId="51A81295" w14:textId="27CE66EE" w:rsidR="004203E4" w:rsidRDefault="004203E4" w:rsidP="004203E4">
            <w:pPr>
              <w:pStyle w:val="Table"/>
            </w:pPr>
            <w:r>
              <w:t>Solution B</w:t>
            </w:r>
          </w:p>
        </w:tc>
        <w:tc>
          <w:tcPr>
            <w:tcW w:w="3079" w:type="dxa"/>
          </w:tcPr>
          <w:p w14:paraId="37DDC515" w14:textId="51928A8B" w:rsidR="004203E4" w:rsidRDefault="004203E4" w:rsidP="00B32A19">
            <w:pPr>
              <w:pStyle w:val="Table"/>
              <w:jc w:val="right"/>
            </w:pPr>
            <w:r>
              <w:t>£</w:t>
            </w:r>
            <w:r w:rsidR="00B32A19">
              <w:t xml:space="preserve">79,213 </w:t>
            </w:r>
            <w:r>
              <w:t>a year</w:t>
            </w:r>
          </w:p>
        </w:tc>
        <w:tc>
          <w:tcPr>
            <w:tcW w:w="3079" w:type="dxa"/>
          </w:tcPr>
          <w:p w14:paraId="51DE8022" w14:textId="1F996F3A" w:rsidR="004203E4" w:rsidRDefault="00B32A19" w:rsidP="00053731">
            <w:pPr>
              <w:pStyle w:val="Table"/>
              <w:jc w:val="right"/>
            </w:pPr>
            <w:r>
              <w:t>£</w:t>
            </w:r>
            <w:r w:rsidR="00053731">
              <w:t>381,068</w:t>
            </w:r>
            <w:r>
              <w:t xml:space="preserve"> a year</w:t>
            </w:r>
          </w:p>
        </w:tc>
      </w:tr>
    </w:tbl>
    <w:p w14:paraId="2516B597" w14:textId="77777777" w:rsidR="004203E4" w:rsidRDefault="004203E4" w:rsidP="00B32A19">
      <w:pPr>
        <w:pStyle w:val="TableLastNote"/>
      </w:pPr>
    </w:p>
    <w:p w14:paraId="48C2D57B" w14:textId="77777777" w:rsidR="00053731" w:rsidRDefault="00053731" w:rsidP="00B32A19">
      <w:pPr>
        <w:pStyle w:val="Text"/>
      </w:pPr>
      <w:r>
        <w:t>I think that in this case:</w:t>
      </w:r>
    </w:p>
    <w:p w14:paraId="09EB3D89" w14:textId="4F3C3D4C" w:rsidR="007C4682" w:rsidRDefault="00053731" w:rsidP="007C4682">
      <w:pPr>
        <w:pStyle w:val="Text"/>
        <w:numPr>
          <w:ilvl w:val="2"/>
          <w:numId w:val="10"/>
        </w:numPr>
      </w:pPr>
      <w:r>
        <w:t xml:space="preserve">£79,213 and £80,308 are too low, given that this customer’s supply </w:t>
      </w:r>
      <w:r w:rsidR="007C4682">
        <w:t>represents</w:t>
      </w:r>
      <w:r>
        <w:t xml:space="preserve"> 10MVA out of a total of about 50MVA </w:t>
      </w:r>
      <w:r w:rsidR="00715CE4">
        <w:t xml:space="preserve">of </w:t>
      </w:r>
      <w:proofErr w:type="gramStart"/>
      <w:r w:rsidR="00715CE4">
        <w:t xml:space="preserve">load </w:t>
      </w:r>
      <w:r>
        <w:t>which</w:t>
      </w:r>
      <w:proofErr w:type="gramEnd"/>
      <w:r>
        <w:t xml:space="preserve"> is dependent on the </w:t>
      </w:r>
      <w:r w:rsidR="007C4682">
        <w:t xml:space="preserve">existence of the </w:t>
      </w:r>
      <w:r>
        <w:t xml:space="preserve">£10 million A2/C1 cable for its security of supply.  The customer should expect to pay a fifth of a return of say 5 per cent on the cable, i.e. </w:t>
      </w:r>
      <w:r w:rsidR="00B32A19">
        <w:t>£</w:t>
      </w:r>
      <w:r w:rsidR="007C4682">
        <w:t>100,000 just for that cable (except perhaps if this would represent double-charging with connection charges — this is not covered by this example).</w:t>
      </w:r>
    </w:p>
    <w:p w14:paraId="643D7017" w14:textId="77777777" w:rsidR="00053731" w:rsidRDefault="00053731" w:rsidP="00053731">
      <w:pPr>
        <w:pStyle w:val="Text"/>
        <w:numPr>
          <w:ilvl w:val="2"/>
          <w:numId w:val="10"/>
        </w:numPr>
      </w:pPr>
      <w:r>
        <w:t>£200,393 a year seems fair.</w:t>
      </w:r>
    </w:p>
    <w:p w14:paraId="2C298111" w14:textId="68BB1A5C" w:rsidR="00053731" w:rsidRDefault="00053731" w:rsidP="00053731">
      <w:pPr>
        <w:pStyle w:val="Text"/>
        <w:numPr>
          <w:ilvl w:val="2"/>
          <w:numId w:val="10"/>
        </w:numPr>
      </w:pPr>
      <w:r>
        <w:t xml:space="preserve">£276,678 a year </w:t>
      </w:r>
      <w:r w:rsidR="007C4682">
        <w:t>might</w:t>
      </w:r>
      <w:r w:rsidR="000F17D8">
        <w:t xml:space="preserve"> also</w:t>
      </w:r>
      <w:r w:rsidR="007C4682">
        <w:t xml:space="preserve"> be</w:t>
      </w:r>
      <w:r w:rsidR="000F17D8">
        <w:t xml:space="preserve"> </w:t>
      </w:r>
      <w:r>
        <w:t>reasonable</w:t>
      </w:r>
      <w:r w:rsidR="000F17D8">
        <w:t>,</w:t>
      </w:r>
      <w:r>
        <w:t xml:space="preserve"> but that might be pure luck as it came from a method that was dreadfully unfair in example 1.</w:t>
      </w:r>
    </w:p>
    <w:p w14:paraId="1D6FA117" w14:textId="3211C6B5" w:rsidR="00B32A19" w:rsidRDefault="00053731" w:rsidP="00053731">
      <w:pPr>
        <w:pStyle w:val="Text"/>
        <w:numPr>
          <w:ilvl w:val="2"/>
          <w:numId w:val="10"/>
        </w:numPr>
      </w:pPr>
      <w:r>
        <w:lastRenderedPageBreak/>
        <w:t xml:space="preserve">£381,068 a year is too much, and is an example of the </w:t>
      </w:r>
      <w:r w:rsidR="00797517">
        <w:t xml:space="preserve">double </w:t>
      </w:r>
      <w:r>
        <w:t xml:space="preserve">counting identified by MIG issue 64: the customer is being charged twice for the A2/C1 cable, through network use factors and through </w:t>
      </w:r>
      <w:r w:rsidR="00797517">
        <w:t xml:space="preserve">FCP.  </w:t>
      </w:r>
      <w:r w:rsidR="006301B0">
        <w:t>M</w:t>
      </w:r>
      <w:r w:rsidR="00B54B2E">
        <w:t>IG issue 47 does not address this</w:t>
      </w:r>
      <w:r w:rsidR="006301B0">
        <w:t xml:space="preserve"> problem.</w:t>
      </w:r>
      <w:r w:rsidR="00B54B2E">
        <w:t xml:space="preserve">  In this case, </w:t>
      </w:r>
      <w:r w:rsidR="00797517">
        <w:t>removing charge 1 (solution A)</w:t>
      </w:r>
      <w:r w:rsidR="00B54B2E">
        <w:t xml:space="preserve"> solves the problem</w:t>
      </w:r>
      <w:r w:rsidR="00797517">
        <w:t>.</w:t>
      </w:r>
      <w:r w:rsidR="006301B0">
        <w:t xml:space="preserve">  </w:t>
      </w:r>
    </w:p>
    <w:p w14:paraId="686560EF" w14:textId="77777777" w:rsidR="006A5C7E" w:rsidRDefault="006A5C7E" w:rsidP="006A5C7E">
      <w:pPr>
        <w:pStyle w:val="Heading3"/>
      </w:pPr>
      <w:r>
        <w:t>Example 3</w:t>
      </w:r>
    </w:p>
    <w:p w14:paraId="42A0CFDA" w14:textId="77777777" w:rsidR="006A5C7E" w:rsidRDefault="006A5C7E" w:rsidP="006A5C7E">
      <w:pPr>
        <w:pStyle w:val="Text"/>
      </w:pPr>
      <w:r>
        <w:t xml:space="preserve">Example 3 is like example 2 except that there is a normally open point on the A2/C1 circuit, with an automatic failover </w:t>
      </w:r>
      <w:proofErr w:type="gramStart"/>
      <w:r>
        <w:t>system which</w:t>
      </w:r>
      <w:proofErr w:type="gramEnd"/>
      <w:r>
        <w:t xml:space="preserve"> closes the A2/C1 circuit and opens the A1/A2 breaker in the event of an outage affecting either X/A1 or X/A2.</w:t>
      </w:r>
    </w:p>
    <w:p w14:paraId="33CD4113" w14:textId="615FDB71" w:rsidR="006A5C7E" w:rsidRDefault="006A5C7E" w:rsidP="006A5C7E">
      <w:pPr>
        <w:pStyle w:val="Text"/>
      </w:pPr>
      <w:r>
        <w:t>The FCP analysis and the solution C analysis are as in example 2: in the relevant contingency the A2/C1 circuit is closed.</w:t>
      </w:r>
    </w:p>
    <w:p w14:paraId="5B9EE62D" w14:textId="2843029A" w:rsidR="006A5C7E" w:rsidRDefault="006A5C7E" w:rsidP="006A5C7E">
      <w:pPr>
        <w:pStyle w:val="Text"/>
      </w:pPr>
      <w:r>
        <w:t>The network use factor analysis under solution C is different, since network use factors are based on a power flow analysis for an intact network.  In the intact network there is no flow between A2 and C1, and therefore the network use factor is zero instead of 0.8.</w:t>
      </w:r>
    </w:p>
    <w:p w14:paraId="064809C9" w14:textId="2D6C9B3F" w:rsidR="000462C7" w:rsidRDefault="0007443F" w:rsidP="000462C7">
      <w:pPr>
        <w:pStyle w:val="Text"/>
      </w:pPr>
      <w:r>
        <w:t xml:space="preserve">Table </w:t>
      </w:r>
      <w:r>
        <w:fldChar w:fldCharType="begin"/>
      </w:r>
      <w:r>
        <w:instrText xml:space="preserve"> =1+</w:instrText>
      </w:r>
      <w:r>
        <w:fldChar w:fldCharType="begin"/>
      </w:r>
      <w:r>
        <w:instrText xml:space="preserve"> SEQ \c Table \* ARABIC </w:instrText>
      </w:r>
      <w:r>
        <w:fldChar w:fldCharType="separate"/>
      </w:r>
      <w:r w:rsidR="00B02CD6">
        <w:rPr>
          <w:noProof/>
        </w:rPr>
        <w:instrText>2</w:instrText>
      </w:r>
      <w:r>
        <w:fldChar w:fldCharType="end"/>
      </w:r>
      <w:r>
        <w:fldChar w:fldCharType="separate"/>
      </w:r>
      <w:r w:rsidR="00B02CD6">
        <w:rPr>
          <w:noProof/>
        </w:rPr>
        <w:t>3</w:t>
      </w:r>
      <w:r>
        <w:fldChar w:fldCharType="end"/>
      </w:r>
      <w:r>
        <w:t xml:space="preserve"> shows e</w:t>
      </w:r>
      <w:r w:rsidR="000462C7">
        <w:t>stimated charges for customer A2a under different options.</w:t>
      </w:r>
    </w:p>
    <w:p w14:paraId="14AC04FE" w14:textId="4E7468FF" w:rsidR="000462C7" w:rsidRDefault="000462C7" w:rsidP="000462C7">
      <w:pPr>
        <w:pStyle w:val="Caption"/>
      </w:pPr>
      <w:r>
        <w:t xml:space="preserve">Table </w:t>
      </w:r>
      <w:r>
        <w:fldChar w:fldCharType="begin"/>
      </w:r>
      <w:r>
        <w:instrText xml:space="preserve"> SEQ Table \* ARABIC </w:instrText>
      </w:r>
      <w:r>
        <w:fldChar w:fldCharType="separate"/>
      </w:r>
      <w:r w:rsidR="00B02CD6">
        <w:rPr>
          <w:noProof/>
        </w:rPr>
        <w:t>3</w:t>
      </w:r>
      <w:r>
        <w:fldChar w:fldCharType="end"/>
      </w:r>
      <w:r>
        <w:tab/>
        <w:t xml:space="preserve">Example 3 </w:t>
      </w:r>
      <w:r w:rsidR="00AA4149">
        <w:t>EDCM charge estimates</w:t>
      </w:r>
    </w:p>
    <w:tbl>
      <w:tblPr>
        <w:tblStyle w:val="TableGrid"/>
        <w:tblW w:w="0" w:type="auto"/>
        <w:tblLook w:val="04A0" w:firstRow="1" w:lastRow="0" w:firstColumn="1" w:lastColumn="0" w:noHBand="0" w:noVBand="1"/>
      </w:tblPr>
      <w:tblGrid>
        <w:gridCol w:w="3078"/>
        <w:gridCol w:w="3079"/>
        <w:gridCol w:w="3079"/>
      </w:tblGrid>
      <w:tr w:rsidR="000462C7" w14:paraId="7077CA3D" w14:textId="77777777" w:rsidTr="0007443F">
        <w:tc>
          <w:tcPr>
            <w:tcW w:w="3078" w:type="dxa"/>
          </w:tcPr>
          <w:p w14:paraId="264834C1" w14:textId="77777777" w:rsidR="000462C7" w:rsidRDefault="000462C7" w:rsidP="0007443F">
            <w:pPr>
              <w:pStyle w:val="Table"/>
            </w:pPr>
          </w:p>
        </w:tc>
        <w:tc>
          <w:tcPr>
            <w:tcW w:w="3079" w:type="dxa"/>
          </w:tcPr>
          <w:p w14:paraId="3B1C9798" w14:textId="77777777" w:rsidR="000462C7" w:rsidRDefault="000462C7" w:rsidP="0007443F">
            <w:pPr>
              <w:pStyle w:val="Table"/>
              <w:jc w:val="center"/>
            </w:pPr>
            <w:r>
              <w:t>Current categorisation</w:t>
            </w:r>
          </w:p>
        </w:tc>
        <w:tc>
          <w:tcPr>
            <w:tcW w:w="3079" w:type="dxa"/>
          </w:tcPr>
          <w:p w14:paraId="52F086FF" w14:textId="77777777" w:rsidR="000462C7" w:rsidRDefault="000462C7" w:rsidP="0007443F">
            <w:pPr>
              <w:pStyle w:val="Table"/>
              <w:jc w:val="center"/>
            </w:pPr>
            <w:r>
              <w:t>Solution C</w:t>
            </w:r>
          </w:p>
        </w:tc>
      </w:tr>
      <w:tr w:rsidR="000462C7" w14:paraId="1AE46520" w14:textId="77777777" w:rsidTr="0007443F">
        <w:tc>
          <w:tcPr>
            <w:tcW w:w="3078" w:type="dxa"/>
          </w:tcPr>
          <w:p w14:paraId="3E966BB0" w14:textId="77777777" w:rsidR="000462C7" w:rsidRDefault="000462C7" w:rsidP="0007443F">
            <w:pPr>
              <w:pStyle w:val="Table"/>
            </w:pPr>
            <w:r>
              <w:t>Current FCP application</w:t>
            </w:r>
          </w:p>
        </w:tc>
        <w:tc>
          <w:tcPr>
            <w:tcW w:w="3079" w:type="dxa"/>
          </w:tcPr>
          <w:p w14:paraId="2BAE1D93" w14:textId="77777777" w:rsidR="000462C7" w:rsidRDefault="000462C7" w:rsidP="0007443F">
            <w:pPr>
              <w:pStyle w:val="Table"/>
              <w:jc w:val="right"/>
            </w:pPr>
            <w:r>
              <w:t>£276,678 a year</w:t>
            </w:r>
          </w:p>
        </w:tc>
        <w:tc>
          <w:tcPr>
            <w:tcW w:w="3079" w:type="dxa"/>
          </w:tcPr>
          <w:p w14:paraId="51B153B0" w14:textId="3FA8B273" w:rsidR="000462C7" w:rsidRDefault="000462C7" w:rsidP="000462C7">
            <w:pPr>
              <w:pStyle w:val="Table"/>
              <w:jc w:val="right"/>
            </w:pPr>
            <w:r>
              <w:t>£320,113 a year</w:t>
            </w:r>
          </w:p>
        </w:tc>
      </w:tr>
      <w:tr w:rsidR="000462C7" w14:paraId="1C882D91" w14:textId="77777777" w:rsidTr="0007443F">
        <w:tc>
          <w:tcPr>
            <w:tcW w:w="3078" w:type="dxa"/>
          </w:tcPr>
          <w:p w14:paraId="47083C77" w14:textId="77777777" w:rsidR="000462C7" w:rsidRDefault="000462C7" w:rsidP="0007443F">
            <w:pPr>
              <w:pStyle w:val="Table"/>
            </w:pPr>
            <w:r>
              <w:t>Solution A</w:t>
            </w:r>
          </w:p>
        </w:tc>
        <w:tc>
          <w:tcPr>
            <w:tcW w:w="3079" w:type="dxa"/>
          </w:tcPr>
          <w:p w14:paraId="220471C8" w14:textId="77777777" w:rsidR="000462C7" w:rsidRDefault="000462C7" w:rsidP="0007443F">
            <w:pPr>
              <w:pStyle w:val="Table"/>
              <w:jc w:val="right"/>
            </w:pPr>
            <w:r>
              <w:t>£80,308 a year</w:t>
            </w:r>
          </w:p>
        </w:tc>
        <w:tc>
          <w:tcPr>
            <w:tcW w:w="3079" w:type="dxa"/>
          </w:tcPr>
          <w:p w14:paraId="1F8DC340" w14:textId="2CDD283B" w:rsidR="000462C7" w:rsidRDefault="000462C7" w:rsidP="000462C7">
            <w:pPr>
              <w:pStyle w:val="Table"/>
              <w:jc w:val="right"/>
            </w:pPr>
            <w:r>
              <w:t>£130,313 a year</w:t>
            </w:r>
          </w:p>
        </w:tc>
      </w:tr>
      <w:tr w:rsidR="000462C7" w14:paraId="4C8E99DA" w14:textId="77777777" w:rsidTr="0007443F">
        <w:tc>
          <w:tcPr>
            <w:tcW w:w="3078" w:type="dxa"/>
          </w:tcPr>
          <w:p w14:paraId="2F48D9CF" w14:textId="77777777" w:rsidR="000462C7" w:rsidRDefault="000462C7" w:rsidP="0007443F">
            <w:pPr>
              <w:pStyle w:val="Table"/>
            </w:pPr>
            <w:r>
              <w:t>Solution B</w:t>
            </w:r>
          </w:p>
        </w:tc>
        <w:tc>
          <w:tcPr>
            <w:tcW w:w="3079" w:type="dxa"/>
          </w:tcPr>
          <w:p w14:paraId="18D8B4A4" w14:textId="77777777" w:rsidR="000462C7" w:rsidRDefault="000462C7" w:rsidP="0007443F">
            <w:pPr>
              <w:pStyle w:val="Table"/>
              <w:jc w:val="right"/>
            </w:pPr>
            <w:r>
              <w:t>£79,213 a year</w:t>
            </w:r>
          </w:p>
        </w:tc>
        <w:tc>
          <w:tcPr>
            <w:tcW w:w="3079" w:type="dxa"/>
          </w:tcPr>
          <w:p w14:paraId="4C96B445" w14:textId="101C8D90" w:rsidR="000462C7" w:rsidRDefault="000462C7" w:rsidP="0007443F">
            <w:pPr>
              <w:pStyle w:val="Table"/>
              <w:jc w:val="right"/>
            </w:pPr>
            <w:r>
              <w:t>£320,113 a year</w:t>
            </w:r>
          </w:p>
        </w:tc>
      </w:tr>
    </w:tbl>
    <w:p w14:paraId="15B1116C" w14:textId="77777777" w:rsidR="000462C7" w:rsidRDefault="000462C7" w:rsidP="000462C7">
      <w:pPr>
        <w:pStyle w:val="TableLastNote"/>
      </w:pPr>
    </w:p>
    <w:p w14:paraId="326F82BD" w14:textId="2FC2CDB1" w:rsidR="000462C7" w:rsidRDefault="000462C7" w:rsidP="000462C7">
      <w:pPr>
        <w:pStyle w:val="Text"/>
      </w:pPr>
      <w:r>
        <w:t>Solution C still leads to a charge being made, despite the zero network use factor.  This is because of the</w:t>
      </w:r>
      <w:r w:rsidR="00EB56C1">
        <w:t xml:space="preserve"> collar on network use factors that is </w:t>
      </w:r>
      <w:r>
        <w:t>applied in the calculation of the relevant notional assets.</w:t>
      </w:r>
    </w:p>
    <w:p w14:paraId="2FBE16B0" w14:textId="77777777" w:rsidR="00C01F62" w:rsidRDefault="000462C7" w:rsidP="000462C7">
      <w:pPr>
        <w:pStyle w:val="Text"/>
      </w:pPr>
      <w:r>
        <w:t>In this case, solution A and solution C taken together probably give an undercharge.  Solution C alone or in conjunction with solution B still gives an apparent overcharge.  My view is that</w:t>
      </w:r>
      <w:r w:rsidR="0007443F">
        <w:t>, in this case,</w:t>
      </w:r>
      <w:r>
        <w:t xml:space="preserve"> undercharg</w:t>
      </w:r>
      <w:r w:rsidR="0007443F">
        <w:t>ing</w:t>
      </w:r>
      <w:r>
        <w:t xml:space="preserve"> is the lesser of the two evils</w:t>
      </w:r>
      <w:r w:rsidR="00C01F62">
        <w:t>.</w:t>
      </w:r>
    </w:p>
    <w:p w14:paraId="727C2383" w14:textId="38550B4C" w:rsidR="000462C7" w:rsidRDefault="00C01F62" w:rsidP="000462C7">
      <w:pPr>
        <w:pStyle w:val="Text"/>
      </w:pPr>
      <w:r>
        <w:t xml:space="preserve">If undercharging </w:t>
      </w:r>
      <w:r w:rsidR="000462C7">
        <w:t>is</w:t>
      </w:r>
      <w:r w:rsidR="00060F80">
        <w:t xml:space="preserve"> a real problem</w:t>
      </w:r>
      <w:r>
        <w:t>,</w:t>
      </w:r>
      <w:r w:rsidR="000462C7">
        <w:t xml:space="preserve"> then the solution is to take better account of contingencies in the network use factor analysis so as to return a non-zero network use factor for this customer (which does use a 33kV circuit).</w:t>
      </w:r>
    </w:p>
    <w:p w14:paraId="28B5BD52" w14:textId="7C0CDEC0" w:rsidR="006A5C7E" w:rsidRDefault="006A5C7E" w:rsidP="006A5C7E">
      <w:pPr>
        <w:pStyle w:val="Heading3"/>
      </w:pPr>
      <w:r>
        <w:t>Example 4</w:t>
      </w:r>
    </w:p>
    <w:p w14:paraId="11A76F5C" w14:textId="4047EC8E" w:rsidR="004C225C" w:rsidRDefault="006A5C7E" w:rsidP="004C225C">
      <w:pPr>
        <w:pStyle w:val="Text"/>
      </w:pPr>
      <w:r>
        <w:t>Example 4 is in England or Wales.</w:t>
      </w:r>
      <w:r w:rsidR="0007443F">
        <w:t xml:space="preserve">  Otherwise, it is like example 2.</w:t>
      </w:r>
      <w:r w:rsidR="004C225C" w:rsidRPr="004C225C">
        <w:t xml:space="preserve"> </w:t>
      </w:r>
      <w:r w:rsidR="004C225C">
        <w:t>I have analysed this example using background data from UKPN EPN and WPD South Wales.</w:t>
      </w:r>
    </w:p>
    <w:p w14:paraId="20A87C63" w14:textId="2E680166" w:rsidR="00F1469C" w:rsidRDefault="00F1469C" w:rsidP="006A5C7E">
      <w:pPr>
        <w:pStyle w:val="Text"/>
      </w:pPr>
      <w:r>
        <w:t>There is plenty of spare capacity at 132kV.</w:t>
      </w:r>
      <w:r w:rsidR="00D25E4F">
        <w:t xml:space="preserve">  All relevant 132kV and 132kV/EHV network use factors are 1 (i.e. the 132kV system is average).</w:t>
      </w:r>
    </w:p>
    <w:p w14:paraId="1AC850B8" w14:textId="77777777" w:rsidR="004C225C" w:rsidRDefault="0007443F" w:rsidP="00AB276D">
      <w:pPr>
        <w:pStyle w:val="Text"/>
      </w:pPr>
      <w:r>
        <w:lastRenderedPageBreak/>
        <w:t>The intact network power flow model gives a flow on A2/C1 of 7.8MW.</w:t>
      </w:r>
      <w:r w:rsidR="006D7E0E">
        <w:t xml:space="preserve">  The highest contingency flow on the circuit is 19 MVA.</w:t>
      </w:r>
      <w:r w:rsidR="004C225C">
        <w:t xml:space="preserve">  The security factor is 2.44.</w:t>
      </w:r>
    </w:p>
    <w:p w14:paraId="05658916" w14:textId="11CD617D" w:rsidR="00EB56C1" w:rsidRDefault="00EB56C1" w:rsidP="00AB276D">
      <w:pPr>
        <w:pStyle w:val="Text"/>
      </w:pPr>
      <w:r>
        <w:t>The time to reinforcement in the base case (using 1 per cent growth</w:t>
      </w:r>
      <w:r w:rsidR="00EC7187">
        <w:t xml:space="preserve"> of all flows, disregarding any tap changes or similar that might be done in reality to ensure that the X/A1 transformer is not overloaded under an X/A2 outage</w:t>
      </w:r>
      <w:r>
        <w:t>) is 5.2 years.</w:t>
      </w:r>
    </w:p>
    <w:p w14:paraId="14C6D539" w14:textId="18F17EF8" w:rsidR="00EB56C1" w:rsidRDefault="00EB56C1" w:rsidP="00AB276D">
      <w:pPr>
        <w:pStyle w:val="Text"/>
      </w:pPr>
      <w:r>
        <w:t>Adding 0.1MW of demand at A2a (ignoring reactive power</w:t>
      </w:r>
      <w:r w:rsidR="00EC7187">
        <w:t xml:space="preserve"> for simplicity in this worked example</w:t>
      </w:r>
      <w:r>
        <w:t xml:space="preserve">) gives </w:t>
      </w:r>
      <w:proofErr w:type="gramStart"/>
      <w:r>
        <w:t>a</w:t>
      </w:r>
      <w:proofErr w:type="gramEnd"/>
      <w:r>
        <w:t xml:space="preserve"> A2/C1 flow of 7.82.  Th</w:t>
      </w:r>
      <w:r w:rsidR="004C225C">
        <w:t xml:space="preserve">is gives a </w:t>
      </w:r>
      <w:r>
        <w:t>new time to reinforcement is 4.9 years.</w:t>
      </w:r>
    </w:p>
    <w:p w14:paraId="7038207E" w14:textId="2AEEB643" w:rsidR="00112BD5" w:rsidRDefault="006D7E0E" w:rsidP="00AB276D">
      <w:pPr>
        <w:pStyle w:val="Text"/>
      </w:pPr>
      <w:r>
        <w:t>The circuit value is £10 million.  The LRIC formula gives:</w:t>
      </w:r>
    </w:p>
    <w:p w14:paraId="7617EA12" w14:textId="1413F867" w:rsidR="006D7E0E" w:rsidRDefault="00EC7187" w:rsidP="006D7E0E">
      <w:pPr>
        <w:pStyle w:val="Equation"/>
      </w:pPr>
      <w:r>
        <w:t>10000000/100*(1.056^–4.9 – 1.056^–5.2)*0.062 = £77/kW/year</w:t>
      </w:r>
    </w:p>
    <w:p w14:paraId="5D677180" w14:textId="45901FA0" w:rsidR="00D25E4F" w:rsidRDefault="004C225C" w:rsidP="00AB276D">
      <w:pPr>
        <w:pStyle w:val="Text"/>
      </w:pPr>
      <w:r>
        <w:t>LRIC c</w:t>
      </w:r>
      <w:r w:rsidR="00EB56C1">
        <w:t>apping</w:t>
      </w:r>
      <w:r w:rsidR="00EC7187">
        <w:t xml:space="preserve"> </w:t>
      </w:r>
      <w:r w:rsidR="003719E2">
        <w:t xml:space="preserve">(“Sense Checking Of Branch Incremental Costs”) </w:t>
      </w:r>
      <w:r w:rsidR="007C1C98">
        <w:t xml:space="preserve">applies </w:t>
      </w:r>
      <w:r w:rsidR="00EB56C1">
        <w:t>in this case</w:t>
      </w:r>
      <w:r w:rsidR="007C1C98">
        <w:t xml:space="preserve">: £77/kW/year applied to a net demand of 39MW would give £3 million a year.  This needs to be scaled down to </w:t>
      </w:r>
      <w:r w:rsidR="00EC7187">
        <w:t xml:space="preserve">£620,000 </w:t>
      </w:r>
      <w:r w:rsidR="007C1C98">
        <w:t>(</w:t>
      </w:r>
      <w:r w:rsidR="003719E2">
        <w:t xml:space="preserve">calculated as </w:t>
      </w:r>
      <w:r w:rsidR="007C1C98">
        <w:t>a</w:t>
      </w:r>
      <w:r w:rsidR="00D25E4F">
        <w:t>n</w:t>
      </w:r>
      <w:r w:rsidR="003719E2">
        <w:t xml:space="preserve"> annuity on </w:t>
      </w:r>
      <w:r w:rsidR="00D25E4F">
        <w:t>£10 million).</w:t>
      </w:r>
    </w:p>
    <w:p w14:paraId="699ABDD2" w14:textId="288B35AD" w:rsidR="007C1C98" w:rsidRDefault="004C225C" w:rsidP="00AB276D">
      <w:pPr>
        <w:pStyle w:val="Text"/>
      </w:pPr>
      <w:r>
        <w:t xml:space="preserve">As a result, </w:t>
      </w:r>
      <w:r w:rsidR="003719E2">
        <w:t>I think that t</w:t>
      </w:r>
      <w:r w:rsidR="007C1C98">
        <w:t xml:space="preserve">he capped LRIC charge </w:t>
      </w:r>
      <w:r w:rsidR="003719E2">
        <w:t xml:space="preserve">will be </w:t>
      </w:r>
      <w:r w:rsidR="007C1C98">
        <w:t>£15.9/kW/year.</w:t>
      </w:r>
    </w:p>
    <w:p w14:paraId="5E962D8D" w14:textId="07CBA47E" w:rsidR="004C225C" w:rsidRDefault="00E97AB7" w:rsidP="00AB276D">
      <w:pPr>
        <w:pStyle w:val="Text"/>
      </w:pPr>
      <w:r>
        <w:t>[This paragraph was wrong and unnecessary in a previous version of this paper.]</w:t>
      </w:r>
    </w:p>
    <w:p w14:paraId="306B0135" w14:textId="5F0A15BE" w:rsidR="00EC7187" w:rsidRDefault="003719E2" w:rsidP="00AB276D">
      <w:pPr>
        <w:pStyle w:val="Text"/>
      </w:pPr>
      <w:r>
        <w:t>Under solution B</w:t>
      </w:r>
      <w:r w:rsidR="004C225C">
        <w:t xml:space="preserve">, this LRIC charge 1 would be charged </w:t>
      </w:r>
      <w:r>
        <w:t>if the customer is classified as 1110</w:t>
      </w:r>
      <w:r w:rsidR="004C225C">
        <w:t>,</w:t>
      </w:r>
      <w:r>
        <w:t xml:space="preserve"> but not if it is classified as 1100.</w:t>
      </w:r>
    </w:p>
    <w:p w14:paraId="6D188E3F" w14:textId="20524A77" w:rsidR="004C225C" w:rsidRDefault="004C225C" w:rsidP="00AB276D">
      <w:pPr>
        <w:pStyle w:val="Text"/>
      </w:pPr>
      <w:r>
        <w:t>In any event, this LRIC charge 1 is classified as local since it relates to 33kV assets for a 33kV customer.</w:t>
      </w:r>
    </w:p>
    <w:p w14:paraId="412698FC" w14:textId="77777777" w:rsidR="00F1469C" w:rsidRDefault="00F1469C" w:rsidP="00AB276D">
      <w:pPr>
        <w:pStyle w:val="Text"/>
      </w:pPr>
      <w:r>
        <w:t>Under the current rules, customer A2a is in category 1100.  Under solution C, it moves to category 1110 because its security of supply depends on the A2/C1 circuit.</w:t>
      </w:r>
    </w:p>
    <w:p w14:paraId="542F748E" w14:textId="77777777" w:rsidR="004C225C" w:rsidRDefault="004C225C" w:rsidP="004C225C">
      <w:pPr>
        <w:pStyle w:val="Text"/>
      </w:pPr>
      <w:r>
        <w:t>The 500MW model annuity at EHV is £15.175/kW/year for UKPN EPN and £7.639/kW/year for WPD South Wales (based on simultaneous maximum load).  The WPD South Wales figure seems surprisingly low.  I have nevertheless assumed that the 500MW model reflected average cost and therefore set the network use factor to 0.7 for UKPN EPN and 1.4 for WPD South Wales.</w:t>
      </w:r>
    </w:p>
    <w:p w14:paraId="57315675" w14:textId="77777777" w:rsidR="004C225C" w:rsidRDefault="004C225C" w:rsidP="004C225C">
      <w:pPr>
        <w:pStyle w:val="Text"/>
      </w:pPr>
      <w:r>
        <w:t xml:space="preserve">Before looking at the estimated EDCM tariffs, it is worth recalling the differences in costs and prices between these two areas, as captured by their CDCM tariffs. </w:t>
      </w:r>
    </w:p>
    <w:p w14:paraId="1DA2FF7F" w14:textId="1ACE9D80" w:rsidR="004C225C" w:rsidRDefault="004C225C" w:rsidP="004C225C">
      <w:pPr>
        <w:pStyle w:val="Text"/>
      </w:pPr>
      <w:r>
        <w:t xml:space="preserve">Table </w:t>
      </w:r>
      <w:r>
        <w:fldChar w:fldCharType="begin"/>
      </w:r>
      <w:r>
        <w:instrText xml:space="preserve"> =1+</w:instrText>
      </w:r>
      <w:r>
        <w:fldChar w:fldCharType="begin"/>
      </w:r>
      <w:r>
        <w:instrText xml:space="preserve"> SEQ \c Table \* ARABIC </w:instrText>
      </w:r>
      <w:r>
        <w:fldChar w:fldCharType="separate"/>
      </w:r>
      <w:r w:rsidR="00B02CD6">
        <w:rPr>
          <w:noProof/>
        </w:rPr>
        <w:instrText>3</w:instrText>
      </w:r>
      <w:r>
        <w:fldChar w:fldCharType="end"/>
      </w:r>
      <w:r>
        <w:fldChar w:fldCharType="separate"/>
      </w:r>
      <w:r w:rsidR="00B02CD6">
        <w:rPr>
          <w:noProof/>
        </w:rPr>
        <w:t>4</w:t>
      </w:r>
      <w:r>
        <w:fldChar w:fldCharType="end"/>
      </w:r>
      <w:r>
        <w:t xml:space="preserve"> shows relevant elements from the CDCM charges that would apply if the DNO had a primary substation fed out of the A1/A2 bars and the customer was supplied at HV with a meter away from the substation (figures are approximate and are inferred from CDCM model data for 2013/2014).</w:t>
      </w:r>
    </w:p>
    <w:p w14:paraId="5AC890FE" w14:textId="27E31B67" w:rsidR="00CE3658" w:rsidRDefault="00CE3658" w:rsidP="00CE3658">
      <w:pPr>
        <w:pStyle w:val="Caption"/>
        <w:numPr>
          <w:ilvl w:val="0"/>
          <w:numId w:val="10"/>
        </w:numPr>
      </w:pPr>
      <w:r>
        <w:lastRenderedPageBreak/>
        <w:t xml:space="preserve">Table </w:t>
      </w:r>
      <w:r>
        <w:fldChar w:fldCharType="begin"/>
      </w:r>
      <w:r>
        <w:instrText xml:space="preserve"> SEQ Table \* ARABIC </w:instrText>
      </w:r>
      <w:r>
        <w:fldChar w:fldCharType="separate"/>
      </w:r>
      <w:r w:rsidR="00B02CD6">
        <w:rPr>
          <w:noProof/>
        </w:rPr>
        <w:t>4</w:t>
      </w:r>
      <w:r>
        <w:fldChar w:fldCharType="end"/>
      </w:r>
      <w:r>
        <w:tab/>
        <w:t>Relevant elements of CDCM HV charges for UKPN EPN and WPD South Wales</w:t>
      </w:r>
    </w:p>
    <w:tbl>
      <w:tblPr>
        <w:tblStyle w:val="TableGrid"/>
        <w:tblW w:w="0" w:type="auto"/>
        <w:jc w:val="center"/>
        <w:tblLayout w:type="fixed"/>
        <w:tblLook w:val="04A0" w:firstRow="1" w:lastRow="0" w:firstColumn="1" w:lastColumn="0" w:noHBand="0" w:noVBand="1"/>
      </w:tblPr>
      <w:tblGrid>
        <w:gridCol w:w="3960"/>
        <w:gridCol w:w="2160"/>
        <w:gridCol w:w="2160"/>
      </w:tblGrid>
      <w:tr w:rsidR="00CE3658" w:rsidRPr="000462C7" w14:paraId="4C9F6EAA" w14:textId="77777777" w:rsidTr="00CE3658">
        <w:trPr>
          <w:tblHeader/>
          <w:jc w:val="center"/>
        </w:trPr>
        <w:tc>
          <w:tcPr>
            <w:tcW w:w="3960" w:type="dxa"/>
          </w:tcPr>
          <w:p w14:paraId="5B6F3757" w14:textId="77777777" w:rsidR="00CE3658" w:rsidRPr="000462C7" w:rsidRDefault="00CE3658" w:rsidP="004C225C">
            <w:pPr>
              <w:pStyle w:val="Table"/>
              <w:keepNext/>
              <w:rPr>
                <w:i/>
              </w:rPr>
            </w:pPr>
          </w:p>
        </w:tc>
        <w:tc>
          <w:tcPr>
            <w:tcW w:w="2160" w:type="dxa"/>
          </w:tcPr>
          <w:p w14:paraId="54AAE0FE" w14:textId="77777777" w:rsidR="00CE3658" w:rsidRPr="000462C7" w:rsidRDefault="00CE3658" w:rsidP="004C225C">
            <w:pPr>
              <w:pStyle w:val="Table"/>
              <w:keepNext/>
              <w:jc w:val="center"/>
              <w:rPr>
                <w:i/>
              </w:rPr>
            </w:pPr>
            <w:r w:rsidRPr="000462C7">
              <w:rPr>
                <w:i/>
              </w:rPr>
              <w:t>UKPN EPN</w:t>
            </w:r>
          </w:p>
        </w:tc>
        <w:tc>
          <w:tcPr>
            <w:tcW w:w="2160" w:type="dxa"/>
          </w:tcPr>
          <w:p w14:paraId="3A8648B1" w14:textId="77777777" w:rsidR="00CE3658" w:rsidRPr="000462C7" w:rsidRDefault="00CE3658" w:rsidP="004C225C">
            <w:pPr>
              <w:pStyle w:val="Table"/>
              <w:keepNext/>
              <w:jc w:val="center"/>
              <w:rPr>
                <w:i/>
              </w:rPr>
            </w:pPr>
            <w:r w:rsidRPr="000462C7">
              <w:rPr>
                <w:i/>
              </w:rPr>
              <w:t>WPD South Wales</w:t>
            </w:r>
          </w:p>
        </w:tc>
      </w:tr>
      <w:tr w:rsidR="00CE3658" w:rsidRPr="003107CA" w14:paraId="17F06251" w14:textId="77777777" w:rsidTr="00CE3658">
        <w:trPr>
          <w:jc w:val="center"/>
        </w:trPr>
        <w:tc>
          <w:tcPr>
            <w:tcW w:w="8280" w:type="dxa"/>
            <w:gridSpan w:val="3"/>
          </w:tcPr>
          <w:p w14:paraId="1B654AB9" w14:textId="172363CC" w:rsidR="00CE3658" w:rsidRPr="003107CA" w:rsidRDefault="00CE3658" w:rsidP="00CE3658">
            <w:pPr>
              <w:pStyle w:val="Table"/>
              <w:rPr>
                <w:b/>
                <w:i/>
              </w:rPr>
            </w:pPr>
            <w:r w:rsidRPr="003107CA">
              <w:rPr>
                <w:b/>
                <w:i/>
              </w:rPr>
              <w:t xml:space="preserve">Charges for </w:t>
            </w:r>
            <w:r>
              <w:rPr>
                <w:b/>
                <w:i/>
              </w:rPr>
              <w:t>EHV</w:t>
            </w:r>
            <w:r w:rsidRPr="003107CA">
              <w:rPr>
                <w:b/>
                <w:i/>
              </w:rPr>
              <w:t xml:space="preserve"> assets (</w:t>
            </w:r>
            <w:r>
              <w:rPr>
                <w:b/>
                <w:i/>
              </w:rPr>
              <w:t xml:space="preserve">comparable with </w:t>
            </w:r>
            <w:r w:rsidRPr="003107CA">
              <w:rPr>
                <w:b/>
                <w:i/>
              </w:rPr>
              <w:t>EDCM</w:t>
            </w:r>
            <w:r>
              <w:rPr>
                <w:b/>
                <w:i/>
              </w:rPr>
              <w:t xml:space="preserve"> </w:t>
            </w:r>
            <w:r w:rsidR="00146115">
              <w:rPr>
                <w:b/>
                <w:i/>
              </w:rPr>
              <w:t xml:space="preserve">capacity </w:t>
            </w:r>
            <w:r>
              <w:rPr>
                <w:b/>
                <w:i/>
              </w:rPr>
              <w:t>charge</w:t>
            </w:r>
            <w:r w:rsidRPr="003107CA">
              <w:rPr>
                <w:b/>
                <w:i/>
              </w:rPr>
              <w:t>)</w:t>
            </w:r>
          </w:p>
        </w:tc>
      </w:tr>
      <w:tr w:rsidR="00CE3658" w14:paraId="392C3F1E" w14:textId="77777777" w:rsidTr="00CE3658">
        <w:trPr>
          <w:jc w:val="center"/>
        </w:trPr>
        <w:tc>
          <w:tcPr>
            <w:tcW w:w="3960" w:type="dxa"/>
          </w:tcPr>
          <w:p w14:paraId="7BF87F5C" w14:textId="77777777" w:rsidR="00CE3658" w:rsidRDefault="00CE3658" w:rsidP="00CE3658">
            <w:pPr>
              <w:pStyle w:val="Table"/>
            </w:pPr>
            <w:r>
              <w:t>Unit rate — assets</w:t>
            </w:r>
          </w:p>
        </w:tc>
        <w:tc>
          <w:tcPr>
            <w:tcW w:w="2160" w:type="dxa"/>
          </w:tcPr>
          <w:p w14:paraId="073AE6A2" w14:textId="77777777" w:rsidR="00CE3658" w:rsidRDefault="00CE3658" w:rsidP="00CE3658">
            <w:pPr>
              <w:pStyle w:val="Table"/>
              <w:jc w:val="center"/>
            </w:pPr>
            <w:r>
              <w:t>0.382 p/kWh</w:t>
            </w:r>
          </w:p>
        </w:tc>
        <w:tc>
          <w:tcPr>
            <w:tcW w:w="2160" w:type="dxa"/>
          </w:tcPr>
          <w:p w14:paraId="79AE9237" w14:textId="77777777" w:rsidR="00CE3658" w:rsidRDefault="00CE3658" w:rsidP="00CE3658">
            <w:pPr>
              <w:pStyle w:val="Table"/>
              <w:jc w:val="center"/>
            </w:pPr>
            <w:r>
              <w:t>0.275 p/kWh</w:t>
            </w:r>
          </w:p>
        </w:tc>
      </w:tr>
      <w:tr w:rsidR="00CE3658" w14:paraId="087EBA92" w14:textId="77777777" w:rsidTr="00CE3658">
        <w:trPr>
          <w:jc w:val="center"/>
        </w:trPr>
        <w:tc>
          <w:tcPr>
            <w:tcW w:w="3960" w:type="dxa"/>
          </w:tcPr>
          <w:p w14:paraId="717E348B" w14:textId="77777777" w:rsidR="00CE3658" w:rsidRDefault="00CE3658" w:rsidP="00CE3658">
            <w:pPr>
              <w:pStyle w:val="Table"/>
            </w:pPr>
            <w:r>
              <w:t>Unit rate — other costs</w:t>
            </w:r>
          </w:p>
        </w:tc>
        <w:tc>
          <w:tcPr>
            <w:tcW w:w="2160" w:type="dxa"/>
          </w:tcPr>
          <w:p w14:paraId="11B29FC0" w14:textId="77777777" w:rsidR="00CE3658" w:rsidRDefault="00CE3658" w:rsidP="00CE3658">
            <w:pPr>
              <w:pStyle w:val="Table"/>
              <w:jc w:val="center"/>
            </w:pPr>
            <w:r>
              <w:t>0.189 p/kWh</w:t>
            </w:r>
          </w:p>
        </w:tc>
        <w:tc>
          <w:tcPr>
            <w:tcW w:w="2160" w:type="dxa"/>
          </w:tcPr>
          <w:p w14:paraId="0CA747EB" w14:textId="77777777" w:rsidR="00CE3658" w:rsidRDefault="00CE3658" w:rsidP="00CE3658">
            <w:pPr>
              <w:pStyle w:val="Table"/>
              <w:jc w:val="center"/>
            </w:pPr>
            <w:r>
              <w:t>0.238 p/kWh</w:t>
            </w:r>
          </w:p>
        </w:tc>
      </w:tr>
      <w:tr w:rsidR="00CE3658" w:rsidRPr="003107CA" w14:paraId="2C261F9C" w14:textId="77777777" w:rsidTr="00CE3658">
        <w:trPr>
          <w:jc w:val="center"/>
        </w:trPr>
        <w:tc>
          <w:tcPr>
            <w:tcW w:w="3960" w:type="dxa"/>
          </w:tcPr>
          <w:p w14:paraId="00C82F5C" w14:textId="77777777" w:rsidR="00CE3658" w:rsidRPr="003107CA" w:rsidRDefault="00CE3658" w:rsidP="00CE3658">
            <w:pPr>
              <w:pStyle w:val="Table"/>
            </w:pPr>
            <w:r w:rsidRPr="003107CA">
              <w:t>Costs underpinning unit rate</w:t>
            </w:r>
          </w:p>
        </w:tc>
        <w:tc>
          <w:tcPr>
            <w:tcW w:w="2160" w:type="dxa"/>
          </w:tcPr>
          <w:p w14:paraId="1ACD985E" w14:textId="77777777" w:rsidR="00CE3658" w:rsidRPr="003107CA" w:rsidRDefault="00CE3658" w:rsidP="00CE3658">
            <w:pPr>
              <w:pStyle w:val="Table"/>
              <w:jc w:val="center"/>
            </w:pPr>
            <w:r w:rsidRPr="003107CA">
              <w:t>0.571 p/kWh</w:t>
            </w:r>
          </w:p>
        </w:tc>
        <w:tc>
          <w:tcPr>
            <w:tcW w:w="2160" w:type="dxa"/>
          </w:tcPr>
          <w:p w14:paraId="5C5B0D9D" w14:textId="77777777" w:rsidR="00CE3658" w:rsidRPr="003107CA" w:rsidRDefault="00CE3658" w:rsidP="00CE3658">
            <w:pPr>
              <w:pStyle w:val="Table"/>
              <w:jc w:val="center"/>
            </w:pPr>
            <w:r w:rsidRPr="003107CA">
              <w:t>1.513 p/kWh</w:t>
            </w:r>
          </w:p>
        </w:tc>
      </w:tr>
      <w:tr w:rsidR="00CE3658" w:rsidRPr="003107CA" w14:paraId="6542C233" w14:textId="77777777" w:rsidTr="00CE3658">
        <w:trPr>
          <w:jc w:val="center"/>
        </w:trPr>
        <w:tc>
          <w:tcPr>
            <w:tcW w:w="3960" w:type="dxa"/>
          </w:tcPr>
          <w:p w14:paraId="4D975E1E" w14:textId="77777777" w:rsidR="00CE3658" w:rsidRPr="003107CA" w:rsidRDefault="00CE3658" w:rsidP="00CE3658">
            <w:pPr>
              <w:pStyle w:val="Table"/>
            </w:pPr>
            <w:r w:rsidRPr="003107CA">
              <w:t>Effect of revenue matching</w:t>
            </w:r>
          </w:p>
        </w:tc>
        <w:tc>
          <w:tcPr>
            <w:tcW w:w="2160" w:type="dxa"/>
          </w:tcPr>
          <w:p w14:paraId="43027273" w14:textId="77777777" w:rsidR="00CE3658" w:rsidRPr="003107CA" w:rsidRDefault="00CE3658" w:rsidP="00CE3658">
            <w:pPr>
              <w:pStyle w:val="Table"/>
              <w:jc w:val="center"/>
            </w:pPr>
            <w:r w:rsidRPr="003107CA">
              <w:t>(0.057 p/kWh)</w:t>
            </w:r>
          </w:p>
        </w:tc>
        <w:tc>
          <w:tcPr>
            <w:tcW w:w="2160" w:type="dxa"/>
          </w:tcPr>
          <w:p w14:paraId="4FED7F8A" w14:textId="77777777" w:rsidR="00CE3658" w:rsidRPr="003107CA" w:rsidRDefault="00CE3658" w:rsidP="00CE3658">
            <w:pPr>
              <w:pStyle w:val="Table"/>
              <w:jc w:val="center"/>
            </w:pPr>
            <w:r w:rsidRPr="003107CA">
              <w:t>1.013 p/kWh</w:t>
            </w:r>
          </w:p>
        </w:tc>
      </w:tr>
      <w:tr w:rsidR="00CE3658" w:rsidRPr="003107CA" w14:paraId="58F0DF5F" w14:textId="77777777" w:rsidTr="00CE3658">
        <w:trPr>
          <w:jc w:val="center"/>
        </w:trPr>
        <w:tc>
          <w:tcPr>
            <w:tcW w:w="3960" w:type="dxa"/>
          </w:tcPr>
          <w:p w14:paraId="4D20FC0A" w14:textId="27F3A882" w:rsidR="00CE3658" w:rsidRPr="003107CA" w:rsidRDefault="004C225C" w:rsidP="00CE3658">
            <w:pPr>
              <w:pStyle w:val="Table"/>
            </w:pPr>
            <w:r>
              <w:t>CDCM unit rate charged</w:t>
            </w:r>
          </w:p>
        </w:tc>
        <w:tc>
          <w:tcPr>
            <w:tcW w:w="2160" w:type="dxa"/>
          </w:tcPr>
          <w:p w14:paraId="0571D97D" w14:textId="77777777" w:rsidR="00CE3658" w:rsidRPr="003107CA" w:rsidRDefault="00CE3658" w:rsidP="00CE3658">
            <w:pPr>
              <w:pStyle w:val="Table"/>
              <w:jc w:val="center"/>
            </w:pPr>
            <w:r w:rsidRPr="003107CA">
              <w:t>0.514 p/kWh</w:t>
            </w:r>
          </w:p>
        </w:tc>
        <w:tc>
          <w:tcPr>
            <w:tcW w:w="2160" w:type="dxa"/>
          </w:tcPr>
          <w:p w14:paraId="7BB13951" w14:textId="77777777" w:rsidR="00CE3658" w:rsidRPr="003107CA" w:rsidRDefault="00CE3658" w:rsidP="00CE3658">
            <w:pPr>
              <w:pStyle w:val="Table"/>
              <w:jc w:val="center"/>
            </w:pPr>
            <w:r w:rsidRPr="003107CA">
              <w:t>1.525 p/kWh</w:t>
            </w:r>
          </w:p>
        </w:tc>
      </w:tr>
      <w:tr w:rsidR="00CE3658" w:rsidRPr="003107CA" w14:paraId="7895F88C" w14:textId="77777777" w:rsidTr="00CE3658">
        <w:trPr>
          <w:jc w:val="center"/>
        </w:trPr>
        <w:tc>
          <w:tcPr>
            <w:tcW w:w="3960" w:type="dxa"/>
          </w:tcPr>
          <w:p w14:paraId="2BB61E99" w14:textId="77777777" w:rsidR="00CE3658" w:rsidRPr="003107CA" w:rsidRDefault="00CE3658" w:rsidP="00CE3658">
            <w:pPr>
              <w:pStyle w:val="Table"/>
            </w:pPr>
            <w:r w:rsidRPr="003107CA">
              <w:t xml:space="preserve">Annual charge for 5 MW </w:t>
            </w:r>
            <w:r>
              <w:t>use</w:t>
            </w:r>
          </w:p>
        </w:tc>
        <w:tc>
          <w:tcPr>
            <w:tcW w:w="2160" w:type="dxa"/>
          </w:tcPr>
          <w:p w14:paraId="04C09A51" w14:textId="77777777" w:rsidR="00CE3658" w:rsidRPr="003107CA" w:rsidRDefault="00CE3658" w:rsidP="00CE3658">
            <w:pPr>
              <w:pStyle w:val="Table"/>
              <w:jc w:val="right"/>
            </w:pPr>
            <w:r w:rsidRPr="003107CA">
              <w:t>£225,132</w:t>
            </w:r>
          </w:p>
        </w:tc>
        <w:tc>
          <w:tcPr>
            <w:tcW w:w="2160" w:type="dxa"/>
          </w:tcPr>
          <w:p w14:paraId="6BECDAE2" w14:textId="77777777" w:rsidR="00CE3658" w:rsidRPr="003107CA" w:rsidRDefault="00CE3658" w:rsidP="00CE3658">
            <w:pPr>
              <w:pStyle w:val="Table"/>
              <w:jc w:val="right"/>
            </w:pPr>
            <w:r w:rsidRPr="003107CA">
              <w:t>£667,950</w:t>
            </w:r>
          </w:p>
        </w:tc>
      </w:tr>
      <w:tr w:rsidR="00CE3658" w:rsidRPr="003107CA" w14:paraId="33DB5ADA" w14:textId="77777777" w:rsidTr="00CE3658">
        <w:trPr>
          <w:jc w:val="center"/>
        </w:trPr>
        <w:tc>
          <w:tcPr>
            <w:tcW w:w="3960" w:type="dxa"/>
          </w:tcPr>
          <w:p w14:paraId="2C6D1B28" w14:textId="75DFCD32" w:rsidR="00CE3658" w:rsidRPr="003107CA" w:rsidRDefault="00CE3658" w:rsidP="00CE3658">
            <w:pPr>
              <w:pStyle w:val="Table"/>
            </w:pPr>
            <w:r w:rsidRPr="003107CA">
              <w:t>Annual cost</w:t>
            </w:r>
            <w:r w:rsidR="004C225C">
              <w:t xml:space="preserve"> (ex matching)</w:t>
            </w:r>
            <w:r w:rsidRPr="003107CA">
              <w:t xml:space="preserve"> for 5 MW </w:t>
            </w:r>
            <w:r>
              <w:t>use</w:t>
            </w:r>
          </w:p>
        </w:tc>
        <w:tc>
          <w:tcPr>
            <w:tcW w:w="2160" w:type="dxa"/>
          </w:tcPr>
          <w:p w14:paraId="70B79097" w14:textId="77777777" w:rsidR="00CE3658" w:rsidRPr="003107CA" w:rsidRDefault="00CE3658" w:rsidP="00CE3658">
            <w:pPr>
              <w:pStyle w:val="Table"/>
              <w:jc w:val="right"/>
            </w:pPr>
            <w:r w:rsidRPr="003107CA">
              <w:t>£250,098</w:t>
            </w:r>
          </w:p>
        </w:tc>
        <w:tc>
          <w:tcPr>
            <w:tcW w:w="2160" w:type="dxa"/>
          </w:tcPr>
          <w:p w14:paraId="4D32E080" w14:textId="77777777" w:rsidR="00CE3658" w:rsidRPr="003107CA" w:rsidRDefault="00CE3658" w:rsidP="00CE3658">
            <w:pPr>
              <w:pStyle w:val="Table"/>
              <w:jc w:val="right"/>
            </w:pPr>
            <w:r w:rsidRPr="003107CA">
              <w:t>£224,694</w:t>
            </w:r>
          </w:p>
        </w:tc>
      </w:tr>
    </w:tbl>
    <w:p w14:paraId="456C0510" w14:textId="77777777" w:rsidR="00CE3658" w:rsidRDefault="00CE3658" w:rsidP="00CE3658">
      <w:pPr>
        <w:pStyle w:val="TableLastNote"/>
        <w:numPr>
          <w:ilvl w:val="0"/>
          <w:numId w:val="10"/>
        </w:numPr>
      </w:pPr>
      <w:r>
        <w:t xml:space="preserve"> The unit rates shown are an average across all time bands assuming an average consumption profile for the area.  The total charge is for 5 MW of average consumption uncorrelated with time bands, i.e. consistent with 5 MW of average consumption in any band including in the EDCM super-red band.</w:t>
      </w:r>
    </w:p>
    <w:p w14:paraId="756E5F58" w14:textId="76A5DD80" w:rsidR="000B7900" w:rsidRDefault="000B7900" w:rsidP="000B7900">
      <w:pPr>
        <w:pStyle w:val="Text"/>
      </w:pPr>
      <w:r>
        <w:t xml:space="preserve">Table </w:t>
      </w:r>
      <w:r>
        <w:fldChar w:fldCharType="begin"/>
      </w:r>
      <w:r>
        <w:instrText xml:space="preserve"> =1+</w:instrText>
      </w:r>
      <w:r>
        <w:fldChar w:fldCharType="begin"/>
      </w:r>
      <w:r>
        <w:instrText xml:space="preserve"> SEQ \c Table \* ARABIC </w:instrText>
      </w:r>
      <w:r>
        <w:fldChar w:fldCharType="separate"/>
      </w:r>
      <w:r w:rsidR="00B02CD6">
        <w:rPr>
          <w:noProof/>
        </w:rPr>
        <w:instrText>4</w:instrText>
      </w:r>
      <w:r>
        <w:fldChar w:fldCharType="end"/>
      </w:r>
      <w:r>
        <w:fldChar w:fldCharType="separate"/>
      </w:r>
      <w:r w:rsidR="00B02CD6">
        <w:rPr>
          <w:noProof/>
        </w:rPr>
        <w:t>5</w:t>
      </w:r>
      <w:r>
        <w:fldChar w:fldCharType="end"/>
      </w:r>
      <w:r>
        <w:t xml:space="preserve"> shows estimated </w:t>
      </w:r>
      <w:r w:rsidR="004C225C">
        <w:t xml:space="preserve">EDCM </w:t>
      </w:r>
      <w:r>
        <w:t>charges for customer A2a under different options.</w:t>
      </w:r>
    </w:p>
    <w:p w14:paraId="6AF0A240" w14:textId="495D1B2E" w:rsidR="000B7900" w:rsidRDefault="000B7900" w:rsidP="000B7900">
      <w:pPr>
        <w:pStyle w:val="Caption"/>
      </w:pPr>
      <w:r>
        <w:t xml:space="preserve">Table </w:t>
      </w:r>
      <w:r>
        <w:fldChar w:fldCharType="begin"/>
      </w:r>
      <w:r>
        <w:instrText xml:space="preserve"> SEQ Table \* ARABIC </w:instrText>
      </w:r>
      <w:r>
        <w:fldChar w:fldCharType="separate"/>
      </w:r>
      <w:r w:rsidR="00B02CD6">
        <w:rPr>
          <w:noProof/>
        </w:rPr>
        <w:t>5</w:t>
      </w:r>
      <w:r>
        <w:fldChar w:fldCharType="end"/>
      </w:r>
      <w:r>
        <w:tab/>
        <w:t xml:space="preserve">Example 4 </w:t>
      </w:r>
      <w:r w:rsidR="00AA4149">
        <w:t>EDCM charge estimates</w:t>
      </w:r>
    </w:p>
    <w:tbl>
      <w:tblPr>
        <w:tblStyle w:val="TableGrid"/>
        <w:tblW w:w="0" w:type="auto"/>
        <w:jc w:val="center"/>
        <w:tblLayout w:type="fixed"/>
        <w:tblLook w:val="04A0" w:firstRow="1" w:lastRow="0" w:firstColumn="1" w:lastColumn="0" w:noHBand="0" w:noVBand="1"/>
      </w:tblPr>
      <w:tblGrid>
        <w:gridCol w:w="3960"/>
        <w:gridCol w:w="2304"/>
        <w:gridCol w:w="2304"/>
      </w:tblGrid>
      <w:tr w:rsidR="00146115" w:rsidRPr="000462C7" w14:paraId="1809ECBF" w14:textId="064F9E74" w:rsidTr="00146115">
        <w:trPr>
          <w:jc w:val="center"/>
        </w:trPr>
        <w:tc>
          <w:tcPr>
            <w:tcW w:w="3960" w:type="dxa"/>
          </w:tcPr>
          <w:p w14:paraId="1DD93BFD" w14:textId="77777777" w:rsidR="00146115" w:rsidRPr="000462C7" w:rsidRDefault="00146115" w:rsidP="000B7900">
            <w:pPr>
              <w:pStyle w:val="Table"/>
              <w:rPr>
                <w:i/>
              </w:rPr>
            </w:pPr>
          </w:p>
        </w:tc>
        <w:tc>
          <w:tcPr>
            <w:tcW w:w="2304" w:type="dxa"/>
          </w:tcPr>
          <w:p w14:paraId="31DF08DE" w14:textId="77777777" w:rsidR="00146115" w:rsidRPr="000462C7" w:rsidRDefault="00146115" w:rsidP="000B7900">
            <w:pPr>
              <w:pStyle w:val="Table"/>
              <w:jc w:val="center"/>
              <w:rPr>
                <w:i/>
              </w:rPr>
            </w:pPr>
            <w:r w:rsidRPr="000462C7">
              <w:rPr>
                <w:i/>
              </w:rPr>
              <w:t>UKPN EPN</w:t>
            </w:r>
          </w:p>
        </w:tc>
        <w:tc>
          <w:tcPr>
            <w:tcW w:w="2304" w:type="dxa"/>
          </w:tcPr>
          <w:p w14:paraId="5463E9B7" w14:textId="77777777" w:rsidR="00146115" w:rsidRPr="000462C7" w:rsidRDefault="00146115" w:rsidP="000B7900">
            <w:pPr>
              <w:pStyle w:val="Table"/>
              <w:jc w:val="center"/>
              <w:rPr>
                <w:i/>
              </w:rPr>
            </w:pPr>
            <w:r w:rsidRPr="000462C7">
              <w:rPr>
                <w:i/>
              </w:rPr>
              <w:t>WPD South Wales</w:t>
            </w:r>
          </w:p>
        </w:tc>
      </w:tr>
      <w:tr w:rsidR="00146115" w14:paraId="7F4B66A7" w14:textId="094AFA3B" w:rsidTr="00146115">
        <w:trPr>
          <w:jc w:val="center"/>
        </w:trPr>
        <w:tc>
          <w:tcPr>
            <w:tcW w:w="3960" w:type="dxa"/>
          </w:tcPr>
          <w:p w14:paraId="4FCC1801" w14:textId="779B8E57" w:rsidR="00146115" w:rsidRPr="00D25E4F" w:rsidRDefault="00146115" w:rsidP="000B7900">
            <w:pPr>
              <w:pStyle w:val="Table"/>
            </w:pPr>
            <w:r w:rsidRPr="00D25E4F">
              <w:t>Current rules</w:t>
            </w:r>
          </w:p>
        </w:tc>
        <w:tc>
          <w:tcPr>
            <w:tcW w:w="2304" w:type="dxa"/>
          </w:tcPr>
          <w:p w14:paraId="63C1B62D" w14:textId="1486E659" w:rsidR="00146115" w:rsidRPr="00D25E4F" w:rsidRDefault="00146115" w:rsidP="00146115">
            <w:pPr>
              <w:pStyle w:val="Table"/>
              <w:jc w:val="center"/>
            </w:pPr>
            <w:r>
              <w:t>£266,844</w:t>
            </w:r>
          </w:p>
        </w:tc>
        <w:tc>
          <w:tcPr>
            <w:tcW w:w="2304" w:type="dxa"/>
          </w:tcPr>
          <w:p w14:paraId="1976D80F" w14:textId="502B20B8" w:rsidR="00146115" w:rsidRPr="00D25E4F" w:rsidRDefault="00146115" w:rsidP="000B7900">
            <w:pPr>
              <w:pStyle w:val="Table"/>
              <w:jc w:val="center"/>
            </w:pPr>
            <w:r>
              <w:t>£355,774</w:t>
            </w:r>
          </w:p>
        </w:tc>
      </w:tr>
      <w:tr w:rsidR="00146115" w14:paraId="57209D2A" w14:textId="516DA2A0" w:rsidTr="00146115">
        <w:trPr>
          <w:jc w:val="center"/>
        </w:trPr>
        <w:tc>
          <w:tcPr>
            <w:tcW w:w="3960" w:type="dxa"/>
          </w:tcPr>
          <w:p w14:paraId="03B0A194" w14:textId="193A4614" w:rsidR="00146115" w:rsidRDefault="00146115" w:rsidP="000B7900">
            <w:pPr>
              <w:pStyle w:val="Table"/>
            </w:pPr>
            <w:r>
              <w:t>Solution A</w:t>
            </w:r>
          </w:p>
        </w:tc>
        <w:tc>
          <w:tcPr>
            <w:tcW w:w="2304" w:type="dxa"/>
          </w:tcPr>
          <w:p w14:paraId="2A33655C" w14:textId="52C4E0D0" w:rsidR="00146115" w:rsidRDefault="00146115" w:rsidP="000B7900">
            <w:pPr>
              <w:pStyle w:val="Table"/>
              <w:jc w:val="center"/>
            </w:pPr>
            <w:r>
              <w:t>£108,069</w:t>
            </w:r>
          </w:p>
        </w:tc>
        <w:tc>
          <w:tcPr>
            <w:tcW w:w="2304" w:type="dxa"/>
          </w:tcPr>
          <w:p w14:paraId="10C455EA" w14:textId="39A819ED" w:rsidR="00146115" w:rsidRDefault="00146115" w:rsidP="000B7900">
            <w:pPr>
              <w:pStyle w:val="Table"/>
              <w:jc w:val="center"/>
            </w:pPr>
            <w:r>
              <w:t>£196,634</w:t>
            </w:r>
          </w:p>
        </w:tc>
      </w:tr>
      <w:tr w:rsidR="00146115" w14:paraId="47A8AB38" w14:textId="2E13DD13" w:rsidTr="00146115">
        <w:trPr>
          <w:jc w:val="center"/>
        </w:trPr>
        <w:tc>
          <w:tcPr>
            <w:tcW w:w="3960" w:type="dxa"/>
          </w:tcPr>
          <w:p w14:paraId="1210160F" w14:textId="2CBD5C5C" w:rsidR="00146115" w:rsidRDefault="00146115" w:rsidP="000B7900">
            <w:pPr>
              <w:pStyle w:val="Table"/>
            </w:pPr>
            <w:r>
              <w:t>Solution B</w:t>
            </w:r>
          </w:p>
        </w:tc>
        <w:tc>
          <w:tcPr>
            <w:tcW w:w="2304" w:type="dxa"/>
          </w:tcPr>
          <w:p w14:paraId="0E2B0A1B" w14:textId="65F1786E" w:rsidR="00146115" w:rsidRDefault="00146115" w:rsidP="000B7900">
            <w:pPr>
              <w:pStyle w:val="Table"/>
              <w:jc w:val="center"/>
            </w:pPr>
            <w:r>
              <w:t>£130,334</w:t>
            </w:r>
          </w:p>
        </w:tc>
        <w:tc>
          <w:tcPr>
            <w:tcW w:w="2304" w:type="dxa"/>
          </w:tcPr>
          <w:p w14:paraId="242F5A51" w14:textId="09B00249" w:rsidR="00146115" w:rsidRDefault="00146115" w:rsidP="000B7900">
            <w:pPr>
              <w:pStyle w:val="Table"/>
              <w:jc w:val="center"/>
            </w:pPr>
            <w:r>
              <w:t>£213,424</w:t>
            </w:r>
          </w:p>
        </w:tc>
      </w:tr>
      <w:tr w:rsidR="00146115" w14:paraId="6A9BE40C" w14:textId="7CB49497" w:rsidTr="00146115">
        <w:trPr>
          <w:jc w:val="center"/>
        </w:trPr>
        <w:tc>
          <w:tcPr>
            <w:tcW w:w="3960" w:type="dxa"/>
          </w:tcPr>
          <w:p w14:paraId="33E7C9D4" w14:textId="73804EB5" w:rsidR="00146115" w:rsidRPr="00D25E4F" w:rsidRDefault="00146115" w:rsidP="000B7900">
            <w:pPr>
              <w:pStyle w:val="Table"/>
            </w:pPr>
            <w:r w:rsidRPr="00D25E4F">
              <w:t xml:space="preserve">Solution </w:t>
            </w:r>
            <w:r>
              <w:t>C or B</w:t>
            </w:r>
            <w:r w:rsidRPr="00D25E4F">
              <w:t>+C</w:t>
            </w:r>
          </w:p>
        </w:tc>
        <w:tc>
          <w:tcPr>
            <w:tcW w:w="2304" w:type="dxa"/>
          </w:tcPr>
          <w:p w14:paraId="5E369132" w14:textId="7B9B7D50" w:rsidR="00146115" w:rsidRPr="00D25E4F" w:rsidRDefault="00146115" w:rsidP="00146115">
            <w:pPr>
              <w:pStyle w:val="Table"/>
              <w:jc w:val="center"/>
            </w:pPr>
            <w:r>
              <w:t>£297,504</w:t>
            </w:r>
          </w:p>
        </w:tc>
        <w:tc>
          <w:tcPr>
            <w:tcW w:w="2304" w:type="dxa"/>
          </w:tcPr>
          <w:p w14:paraId="6E6D1A6E" w14:textId="6B239919" w:rsidR="00146115" w:rsidRPr="00D25E4F" w:rsidRDefault="00146115" w:rsidP="00146115">
            <w:pPr>
              <w:pStyle w:val="Table"/>
              <w:jc w:val="center"/>
            </w:pPr>
            <w:r>
              <w:t>£441,914</w:t>
            </w:r>
          </w:p>
        </w:tc>
      </w:tr>
      <w:tr w:rsidR="00146115" w14:paraId="257853F2" w14:textId="69DB6C35" w:rsidTr="00146115">
        <w:trPr>
          <w:jc w:val="center"/>
        </w:trPr>
        <w:tc>
          <w:tcPr>
            <w:tcW w:w="3960" w:type="dxa"/>
          </w:tcPr>
          <w:p w14:paraId="4BC9D54D" w14:textId="0439FD3A" w:rsidR="00146115" w:rsidRDefault="00146115" w:rsidP="000B7900">
            <w:pPr>
              <w:pStyle w:val="Table"/>
            </w:pPr>
            <w:r>
              <w:t>Solution A+C</w:t>
            </w:r>
          </w:p>
        </w:tc>
        <w:tc>
          <w:tcPr>
            <w:tcW w:w="2304" w:type="dxa"/>
          </w:tcPr>
          <w:p w14:paraId="1908B5E7" w14:textId="2CF045FA" w:rsidR="00146115" w:rsidRDefault="00146115" w:rsidP="000B7900">
            <w:pPr>
              <w:pStyle w:val="Table"/>
              <w:jc w:val="center"/>
            </w:pPr>
            <w:r>
              <w:t>£174,864</w:t>
            </w:r>
          </w:p>
        </w:tc>
        <w:tc>
          <w:tcPr>
            <w:tcW w:w="2304" w:type="dxa"/>
          </w:tcPr>
          <w:p w14:paraId="7E372AF7" w14:textId="5AFE45D4" w:rsidR="00146115" w:rsidRDefault="00146115" w:rsidP="00AA1E48">
            <w:pPr>
              <w:pStyle w:val="Table"/>
              <w:jc w:val="center"/>
            </w:pPr>
            <w:r>
              <w:t>£310,149</w:t>
            </w:r>
          </w:p>
        </w:tc>
      </w:tr>
    </w:tbl>
    <w:p w14:paraId="77B1523D" w14:textId="17752F52" w:rsidR="00B538A5" w:rsidRDefault="00B538A5" w:rsidP="007C1C98">
      <w:pPr>
        <w:pStyle w:val="TableLastNote"/>
      </w:pPr>
    </w:p>
    <w:p w14:paraId="1BB93713" w14:textId="2230FCBE" w:rsidR="00AA4149" w:rsidRDefault="00043700" w:rsidP="00D25E4F">
      <w:pPr>
        <w:pStyle w:val="Text"/>
      </w:pPr>
      <w:r>
        <w:t>As far as the EDCM is concerned, m</w:t>
      </w:r>
      <w:r w:rsidR="00AA1E48">
        <w:t>y interpretation of this</w:t>
      </w:r>
      <w:r w:rsidR="00D25E4F">
        <w:t xml:space="preserve"> situation is </w:t>
      </w:r>
      <w:r w:rsidR="00AA1E48">
        <w:t xml:space="preserve">the same as in </w:t>
      </w:r>
      <w:r w:rsidR="00D25E4F">
        <w:t>example 2</w:t>
      </w:r>
      <w:r w:rsidR="00AA4149">
        <w:t xml:space="preserve">.  I find the results of </w:t>
      </w:r>
      <w:r w:rsidR="003719E2">
        <w:t>solution A+C</w:t>
      </w:r>
      <w:r w:rsidR="00AA4149">
        <w:t xml:space="preserve"> acceptable, and solution A+C is the only one that is at all satisfactory in principle (the principle being to charge for the assets that are needed to give security of supply to the customer, and for nothing else).</w:t>
      </w:r>
    </w:p>
    <w:p w14:paraId="2B610B1B" w14:textId="7715A623" w:rsidR="00043700" w:rsidRDefault="00CE3658" w:rsidP="00D25E4F">
      <w:pPr>
        <w:pStyle w:val="Text"/>
      </w:pPr>
      <w:r>
        <w:t xml:space="preserve">Comparing </w:t>
      </w:r>
      <w:r w:rsidR="00AA4149">
        <w:t xml:space="preserve">across the EDCM and </w:t>
      </w:r>
      <w:r w:rsidR="00043700">
        <w:t>CDCM</w:t>
      </w:r>
      <w:r w:rsidR="00AA4149">
        <w:t xml:space="preserve"> estimates in table </w:t>
      </w:r>
      <w:r w:rsidR="00AA4149">
        <w:fldChar w:fldCharType="begin"/>
      </w:r>
      <w:r w:rsidR="00AA4149">
        <w:instrText xml:space="preserve"> =-1+</w:instrText>
      </w:r>
      <w:r w:rsidR="00AA4149">
        <w:fldChar w:fldCharType="begin"/>
      </w:r>
      <w:r w:rsidR="00AA4149">
        <w:instrText xml:space="preserve"> SEQ \c Table \* ARABIC </w:instrText>
      </w:r>
      <w:r w:rsidR="00AA4149">
        <w:fldChar w:fldCharType="separate"/>
      </w:r>
      <w:r w:rsidR="00B02CD6">
        <w:rPr>
          <w:noProof/>
        </w:rPr>
        <w:instrText>5</w:instrText>
      </w:r>
      <w:r w:rsidR="00AA4149">
        <w:fldChar w:fldCharType="end"/>
      </w:r>
      <w:r w:rsidR="00AA4149">
        <w:fldChar w:fldCharType="separate"/>
      </w:r>
      <w:r w:rsidR="00B02CD6">
        <w:rPr>
          <w:noProof/>
        </w:rPr>
        <w:t>4</w:t>
      </w:r>
      <w:r w:rsidR="00AA4149">
        <w:fldChar w:fldCharType="end"/>
      </w:r>
      <w:r w:rsidR="00AA4149">
        <w:t xml:space="preserve"> and table </w:t>
      </w:r>
      <w:r w:rsidR="00AA4149">
        <w:fldChar w:fldCharType="begin"/>
      </w:r>
      <w:r w:rsidR="00AA4149">
        <w:instrText xml:space="preserve"> =0+</w:instrText>
      </w:r>
      <w:r w:rsidR="00AA4149">
        <w:fldChar w:fldCharType="begin"/>
      </w:r>
      <w:r w:rsidR="00AA4149">
        <w:instrText xml:space="preserve"> SEQ \c Table \* ARABIC </w:instrText>
      </w:r>
      <w:r w:rsidR="00AA4149">
        <w:fldChar w:fldCharType="separate"/>
      </w:r>
      <w:r w:rsidR="00B02CD6">
        <w:rPr>
          <w:noProof/>
        </w:rPr>
        <w:instrText>5</w:instrText>
      </w:r>
      <w:r w:rsidR="00AA4149">
        <w:fldChar w:fldCharType="end"/>
      </w:r>
      <w:r w:rsidR="00AA4149">
        <w:fldChar w:fldCharType="separate"/>
      </w:r>
      <w:r w:rsidR="00B02CD6">
        <w:rPr>
          <w:noProof/>
        </w:rPr>
        <w:t>5</w:t>
      </w:r>
      <w:r w:rsidR="00AA4149">
        <w:fldChar w:fldCharType="end"/>
      </w:r>
      <w:r w:rsidR="00043700">
        <w:t>, I observe that:</w:t>
      </w:r>
    </w:p>
    <w:p w14:paraId="688E1945" w14:textId="0CCE259E" w:rsidR="00CE3658" w:rsidRDefault="00146115" w:rsidP="00043700">
      <w:pPr>
        <w:pStyle w:val="Text"/>
        <w:numPr>
          <w:ilvl w:val="2"/>
          <w:numId w:val="10"/>
        </w:numPr>
      </w:pPr>
      <w:r>
        <w:t>R</w:t>
      </w:r>
      <w:r w:rsidR="00043700">
        <w:t xml:space="preserve">evenue matching method leads to </w:t>
      </w:r>
      <w:r w:rsidR="00CE3658">
        <w:t>an overcharge</w:t>
      </w:r>
      <w:r w:rsidR="00043700">
        <w:t xml:space="preserve"> on HV customers in WPD South Wales.  (Using proportional scaling instead would </w:t>
      </w:r>
      <w:r w:rsidR="004C225C">
        <w:t>halve</w:t>
      </w:r>
      <w:r w:rsidR="00043700">
        <w:t xml:space="preserve"> the scaling element of </w:t>
      </w:r>
      <w:r>
        <w:t xml:space="preserve">CDCM HV </w:t>
      </w:r>
      <w:r w:rsidR="00043700">
        <w:t>unit rates</w:t>
      </w:r>
      <w:r w:rsidR="004C225C">
        <w:t>,</w:t>
      </w:r>
      <w:r w:rsidR="00043700">
        <w:t xml:space="preserve"> to </w:t>
      </w:r>
      <w:r w:rsidR="00CE3658">
        <w:t>0.463p/kWh or £202,794.)</w:t>
      </w:r>
    </w:p>
    <w:p w14:paraId="63912ADC" w14:textId="387EB2AC" w:rsidR="00043700" w:rsidRDefault="00146115" w:rsidP="00043700">
      <w:pPr>
        <w:pStyle w:val="Text"/>
        <w:numPr>
          <w:ilvl w:val="2"/>
          <w:numId w:val="10"/>
        </w:numPr>
      </w:pPr>
      <w:r>
        <w:lastRenderedPageBreak/>
        <w:t>In cases where LRIC charge 1 is not applied, EDCM charges in UKPN EPN are low</w:t>
      </w:r>
      <w:r w:rsidR="00AA4149">
        <w:t xml:space="preserve"> compared to CDCM costs or charges</w:t>
      </w:r>
      <w:r>
        <w:t xml:space="preserve">.  This </w:t>
      </w:r>
      <w:r w:rsidR="00AA4149">
        <w:t xml:space="preserve">is because low allowed revenues (relative to total demand) </w:t>
      </w:r>
      <w:r w:rsidR="001F20D2">
        <w:t>combined with</w:t>
      </w:r>
      <w:r w:rsidR="00AA4149">
        <w:t xml:space="preserve"> the </w:t>
      </w:r>
      <w:r>
        <w:t>EDCM revenue matching</w:t>
      </w:r>
      <w:r w:rsidR="00AA4149">
        <w:t xml:space="preserve"> rules lead to a </w:t>
      </w:r>
      <w:r>
        <w:t>charging rate on notional assets in UKPN EPN to 2.3 per cent (currently or under solution A) or 3.4 per cent (under solution B),</w:t>
      </w:r>
      <w:r w:rsidR="001F20D2">
        <w:t xml:space="preserve"> which is</w:t>
      </w:r>
      <w:r>
        <w:t xml:space="preserve"> much lower the 6.2 per cent annuity used in CDCM </w:t>
      </w:r>
      <w:proofErr w:type="spellStart"/>
      <w:r>
        <w:t>costings</w:t>
      </w:r>
      <w:proofErr w:type="spellEnd"/>
      <w:r>
        <w:t>.</w:t>
      </w:r>
    </w:p>
    <w:p w14:paraId="6464BE6B" w14:textId="6F5DA3DD" w:rsidR="00AA4149" w:rsidRDefault="00AA4149" w:rsidP="00043700">
      <w:pPr>
        <w:pStyle w:val="Text"/>
        <w:numPr>
          <w:ilvl w:val="2"/>
          <w:numId w:val="10"/>
        </w:numPr>
      </w:pPr>
      <w:r>
        <w:t xml:space="preserve">CDCM costs excluding revenue matching in WPD South Wales are low.  This reflects the relatively low 500 MW model asset value at EHV, and the fact that 36 per cent of EHV assets serving an HV CDCM customer </w:t>
      </w:r>
      <w:proofErr w:type="gramStart"/>
      <w:r>
        <w:t>are deemed to be covered</w:t>
      </w:r>
      <w:proofErr w:type="gramEnd"/>
      <w:r>
        <w:t xml:space="preserve"> by connection charges (CDCM table 1060).</w:t>
      </w:r>
    </w:p>
    <w:sectPr w:rsidR="00AA4149" w:rsidSect="00AF29FD">
      <w:footerReference w:type="default" r:id="rId9"/>
      <w:pgSz w:w="11900" w:h="16840"/>
      <w:pgMar w:top="1800" w:right="1440" w:bottom="1440" w:left="1440" w:header="1080"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EBB30" w14:textId="77777777" w:rsidR="00AA4149" w:rsidRDefault="00AA4149" w:rsidP="00AF29FD">
      <w:pPr>
        <w:spacing w:after="0"/>
      </w:pPr>
      <w:r>
        <w:separator/>
      </w:r>
    </w:p>
  </w:endnote>
  <w:endnote w:type="continuationSeparator" w:id="0">
    <w:p w14:paraId="2C5A39D9" w14:textId="77777777" w:rsidR="00AA4149" w:rsidRDefault="00AA4149" w:rsidP="00AF29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ÇlÇr ÉSÉVÉbÉN"/>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605D4" w14:textId="77777777" w:rsidR="00AA4149" w:rsidRDefault="00AA4149">
    <w:pPr>
      <w:pStyle w:val="Footer"/>
    </w:pPr>
    <w:r w:rsidRPr="008021FC">
      <w:tab/>
    </w:r>
    <w:r>
      <w:fldChar w:fldCharType="begin"/>
    </w:r>
    <w:r>
      <w:instrText xml:space="preserve"> PAGE  \* MERGEFORMAT </w:instrText>
    </w:r>
    <w:r>
      <w:fldChar w:fldCharType="separate"/>
    </w:r>
    <w:r w:rsidR="00937BE9">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46340" w14:textId="77777777" w:rsidR="00AA4149" w:rsidRDefault="00AA4149" w:rsidP="00AF29FD">
      <w:pPr>
        <w:spacing w:after="0"/>
      </w:pPr>
      <w:r>
        <w:separator/>
      </w:r>
    </w:p>
  </w:footnote>
  <w:footnote w:type="continuationSeparator" w:id="0">
    <w:p w14:paraId="42C14B32" w14:textId="77777777" w:rsidR="00AA4149" w:rsidRDefault="00AA4149" w:rsidP="00AF29FD">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2">
    <w:nsid w:val="1FB87DBC"/>
    <w:multiLevelType w:val="multilevel"/>
    <w:tmpl w:val="3C283E6E"/>
    <w:lvl w:ilvl="0">
      <w:start w:val="1"/>
      <w:numFmt w:val="none"/>
      <w:suff w:val="nothing"/>
      <w:lvlText w:val=""/>
      <w:lvlJc w:val="left"/>
      <w:rPr>
        <w:rFonts w:hint="default"/>
      </w:rPr>
    </w:lvl>
    <w:lvl w:ilvl="1">
      <w:start w:val="1"/>
      <w:numFmt w:val="decimal"/>
      <w:lvlRestart w:val="0"/>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 w:numId="3">
    <w:abstractNumId w:val="2"/>
  </w:num>
  <w:num w:numId="4">
    <w:abstractNumId w:val="1"/>
  </w:num>
  <w:num w:numId="5">
    <w:abstractNumId w:val="2"/>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F29FD"/>
    <w:rsid w:val="0002631B"/>
    <w:rsid w:val="000274C1"/>
    <w:rsid w:val="00043700"/>
    <w:rsid w:val="000462C7"/>
    <w:rsid w:val="00053731"/>
    <w:rsid w:val="00060F80"/>
    <w:rsid w:val="0007443F"/>
    <w:rsid w:val="000B7900"/>
    <w:rsid w:val="000C7674"/>
    <w:rsid w:val="000F17D8"/>
    <w:rsid w:val="00112BD5"/>
    <w:rsid w:val="00136E92"/>
    <w:rsid w:val="00146115"/>
    <w:rsid w:val="001576BE"/>
    <w:rsid w:val="001A2099"/>
    <w:rsid w:val="001D6E47"/>
    <w:rsid w:val="001F20D2"/>
    <w:rsid w:val="001F5CD7"/>
    <w:rsid w:val="00210A49"/>
    <w:rsid w:val="00217464"/>
    <w:rsid w:val="00263F56"/>
    <w:rsid w:val="00285322"/>
    <w:rsid w:val="003107CA"/>
    <w:rsid w:val="003455E1"/>
    <w:rsid w:val="00352FEB"/>
    <w:rsid w:val="003719E2"/>
    <w:rsid w:val="004203E4"/>
    <w:rsid w:val="004C225C"/>
    <w:rsid w:val="004F03A7"/>
    <w:rsid w:val="004F413A"/>
    <w:rsid w:val="005541C2"/>
    <w:rsid w:val="005B6A3B"/>
    <w:rsid w:val="006301B0"/>
    <w:rsid w:val="006851F8"/>
    <w:rsid w:val="006A5C7E"/>
    <w:rsid w:val="006D7E0E"/>
    <w:rsid w:val="006E2791"/>
    <w:rsid w:val="00715CE4"/>
    <w:rsid w:val="00717131"/>
    <w:rsid w:val="00747B12"/>
    <w:rsid w:val="00797517"/>
    <w:rsid w:val="007B7CF0"/>
    <w:rsid w:val="007C1C98"/>
    <w:rsid w:val="007C27C7"/>
    <w:rsid w:val="007C4682"/>
    <w:rsid w:val="007D48C7"/>
    <w:rsid w:val="00832AA8"/>
    <w:rsid w:val="008620BE"/>
    <w:rsid w:val="00882365"/>
    <w:rsid w:val="00907625"/>
    <w:rsid w:val="00931730"/>
    <w:rsid w:val="00937BE9"/>
    <w:rsid w:val="009427D3"/>
    <w:rsid w:val="00951CB4"/>
    <w:rsid w:val="00992EBC"/>
    <w:rsid w:val="009F1DB7"/>
    <w:rsid w:val="00A270E5"/>
    <w:rsid w:val="00A409B8"/>
    <w:rsid w:val="00A50D44"/>
    <w:rsid w:val="00A67484"/>
    <w:rsid w:val="00A77AB9"/>
    <w:rsid w:val="00A77B6D"/>
    <w:rsid w:val="00AA1E48"/>
    <w:rsid w:val="00AA4149"/>
    <w:rsid w:val="00AB276D"/>
    <w:rsid w:val="00AC2778"/>
    <w:rsid w:val="00AE36F3"/>
    <w:rsid w:val="00AF29FD"/>
    <w:rsid w:val="00B02CD6"/>
    <w:rsid w:val="00B32A19"/>
    <w:rsid w:val="00B538A5"/>
    <w:rsid w:val="00B54B2E"/>
    <w:rsid w:val="00C01F62"/>
    <w:rsid w:val="00C75A0F"/>
    <w:rsid w:val="00CE3658"/>
    <w:rsid w:val="00D076B7"/>
    <w:rsid w:val="00D2120E"/>
    <w:rsid w:val="00D25E4F"/>
    <w:rsid w:val="00D31265"/>
    <w:rsid w:val="00D629BE"/>
    <w:rsid w:val="00D844C1"/>
    <w:rsid w:val="00E43E21"/>
    <w:rsid w:val="00E50E42"/>
    <w:rsid w:val="00E97AB7"/>
    <w:rsid w:val="00EB56C1"/>
    <w:rsid w:val="00EC7187"/>
    <w:rsid w:val="00F1469C"/>
    <w:rsid w:val="00F46DD7"/>
    <w:rsid w:val="00F83B7D"/>
    <w:rsid w:val="00FB5360"/>
    <w:rsid w:val="00FD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7A56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 w:type="paragraph" w:styleId="ListParagraph">
    <w:name w:val="List Paragraph"/>
    <w:basedOn w:val="Normal"/>
    <w:uiPriority w:val="34"/>
    <w:qFormat/>
    <w:rsid w:val="000C7674"/>
    <w:pPr>
      <w:ind w:left="720"/>
      <w:contextualSpacing/>
    </w:pPr>
  </w:style>
  <w:style w:type="paragraph" w:styleId="BalloonText">
    <w:name w:val="Balloon Text"/>
    <w:basedOn w:val="Normal"/>
    <w:link w:val="BalloonTextChar"/>
    <w:uiPriority w:val="99"/>
    <w:semiHidden/>
    <w:unhideWhenUsed/>
    <w:rsid w:val="00A50D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D44"/>
    <w:rPr>
      <w:rFonts w:ascii="Lucida Grande" w:hAnsi="Lucida Grande" w:cs="Lucida Grande"/>
      <w:kern w:val="14"/>
      <w:sz w:val="18"/>
      <w:szCs w:val="18"/>
      <w:lang w:val="en-GB"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 w:type="paragraph" w:styleId="ListParagraph">
    <w:name w:val="List Paragraph"/>
    <w:basedOn w:val="Normal"/>
    <w:uiPriority w:val="34"/>
    <w:qFormat/>
    <w:rsid w:val="000C7674"/>
    <w:pPr>
      <w:ind w:left="720"/>
      <w:contextualSpacing/>
    </w:pPr>
  </w:style>
  <w:style w:type="paragraph" w:styleId="BalloonText">
    <w:name w:val="Balloon Text"/>
    <w:basedOn w:val="Normal"/>
    <w:link w:val="BalloonTextChar"/>
    <w:uiPriority w:val="99"/>
    <w:semiHidden/>
    <w:unhideWhenUsed/>
    <w:rsid w:val="00A50D4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D44"/>
    <w:rPr>
      <w:rFonts w:ascii="Lucida Grande" w:hAnsi="Lucida Grande" w:cs="Lucida Grande"/>
      <w:kern w:val="14"/>
      <w:sz w:val="18"/>
      <w:szCs w:val="18"/>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814">
      <w:bodyDiv w:val="1"/>
      <w:marLeft w:val="0"/>
      <w:marRight w:val="0"/>
      <w:marTop w:val="0"/>
      <w:marBottom w:val="0"/>
      <w:divBdr>
        <w:top w:val="none" w:sz="0" w:space="0" w:color="auto"/>
        <w:left w:val="none" w:sz="0" w:space="0" w:color="auto"/>
        <w:bottom w:val="none" w:sz="0" w:space="0" w:color="auto"/>
        <w:right w:val="none" w:sz="0" w:space="0" w:color="auto"/>
      </w:divBdr>
    </w:div>
    <w:div w:id="1784568962">
      <w:bodyDiv w:val="1"/>
      <w:marLeft w:val="0"/>
      <w:marRight w:val="0"/>
      <w:marTop w:val="0"/>
      <w:marBottom w:val="0"/>
      <w:divBdr>
        <w:top w:val="none" w:sz="0" w:space="0" w:color="auto"/>
        <w:left w:val="none" w:sz="0" w:space="0" w:color="auto"/>
        <w:bottom w:val="none" w:sz="0" w:space="0" w:color="auto"/>
        <w:right w:val="none" w:sz="0" w:space="0" w:color="auto"/>
      </w:divBdr>
    </w:div>
    <w:div w:id="1847089124">
      <w:bodyDiv w:val="1"/>
      <w:marLeft w:val="0"/>
      <w:marRight w:val="0"/>
      <w:marTop w:val="0"/>
      <w:marBottom w:val="0"/>
      <w:divBdr>
        <w:top w:val="none" w:sz="0" w:space="0" w:color="auto"/>
        <w:left w:val="none" w:sz="0" w:space="0" w:color="auto"/>
        <w:bottom w:val="none" w:sz="0" w:space="0" w:color="auto"/>
        <w:right w:val="none" w:sz="0" w:space="0" w:color="auto"/>
      </w:divBdr>
    </w:div>
    <w:div w:id="20955411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Templates: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Paper.dotx</Template>
  <TotalTime>1</TotalTime>
  <Pages>12</Pages>
  <Words>3682</Words>
  <Characters>20992</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Title</vt:lpstr>
    </vt:vector>
  </TitlesOfParts>
  <Manager/>
  <Company/>
  <LinksUpToDate>false</LinksUpToDate>
  <CharactersWithSpaces>24625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3</cp:revision>
  <dcterms:created xsi:type="dcterms:W3CDTF">2013-12-17T12:12:00Z</dcterms:created>
  <dcterms:modified xsi:type="dcterms:W3CDTF">2014-07-25T13:06:00Z</dcterms:modified>
  <cp:category/>
</cp:coreProperties>
</file>