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E4DFC" w14:textId="4A915E32" w:rsidR="00F85A5C" w:rsidRDefault="00A51862" w:rsidP="00F85A5C">
      <w:pPr>
        <w:pStyle w:val="Heading1"/>
        <w:numPr>
          <w:ilvl w:val="0"/>
          <w:numId w:val="3"/>
        </w:numPr>
      </w:pPr>
      <w:r>
        <w:t>Comparison of DCP 206 with transmission charging ICRP</w:t>
      </w:r>
    </w:p>
    <w:p w14:paraId="4372853A" w14:textId="3C1E997E" w:rsidR="001A6C31" w:rsidRDefault="00F85A5C" w:rsidP="00F85A5C">
      <w:pPr>
        <w:pStyle w:val="Byline"/>
      </w:pPr>
      <w:r w:rsidRPr="00AB6F30">
        <w:rPr>
          <w:color w:val="808080"/>
        </w:rPr>
        <w:t>by</w:t>
      </w:r>
      <w:r w:rsidRPr="00AB6F30">
        <w:t xml:space="preserve"> </w:t>
      </w:r>
      <w:r w:rsidR="002F4031" w:rsidRPr="00F85A5C">
        <w:t>Franck Latrémolière</w:t>
      </w:r>
      <w:r w:rsidRPr="00AB6F30">
        <w:t xml:space="preserve"> </w:t>
      </w:r>
      <w:bookmarkStart w:id="0" w:name="_GoBack"/>
      <w:bookmarkEnd w:id="0"/>
      <w:r w:rsidRPr="00AB6F30">
        <w:rPr>
          <w:color w:val="808080"/>
        </w:rPr>
        <w:t>on</w:t>
      </w:r>
      <w:r w:rsidRPr="00AB6F30">
        <w:t xml:space="preserve"> </w:t>
      </w:r>
      <w:r w:rsidR="002F4031">
        <w:rPr>
          <w:noProof/>
        </w:rPr>
        <w:t>Thursday 24 July 2014</w:t>
      </w:r>
    </w:p>
    <w:p w14:paraId="61B3FEA4" w14:textId="3C2ABF35" w:rsidR="001A6C31" w:rsidRDefault="006E33E4" w:rsidP="00F85A5C">
      <w:pPr>
        <w:pStyle w:val="Text"/>
        <w:numPr>
          <w:ilvl w:val="1"/>
          <w:numId w:val="3"/>
        </w:numPr>
      </w:pPr>
      <w:bookmarkStart w:id="1" w:name="_Toc262902365"/>
      <w:r>
        <w:t xml:space="preserve">A </w:t>
      </w:r>
      <w:r w:rsidR="001A6C31">
        <w:t>power stati</w:t>
      </w:r>
      <w:r>
        <w:t>on in Springfield feeds</w:t>
      </w:r>
      <w:r w:rsidR="009C027F">
        <w:t xml:space="preserve"> </w:t>
      </w:r>
      <w:r w:rsidR="006D5C21">
        <w:t xml:space="preserve">a double </w:t>
      </w:r>
      <w:r>
        <w:t xml:space="preserve">100 MVA </w:t>
      </w:r>
      <w:r w:rsidR="001A6C31">
        <w:t xml:space="preserve">circuit from Springfield to Shelbyville.  </w:t>
      </w:r>
      <w:r>
        <w:t xml:space="preserve">The firm capacity of 100 MVA is fully used.  </w:t>
      </w:r>
      <w:r w:rsidR="001A6C31">
        <w:t xml:space="preserve">To meet </w:t>
      </w:r>
      <w:r w:rsidR="00C761DE">
        <w:t>new</w:t>
      </w:r>
      <w:r w:rsidR="00586460">
        <w:t xml:space="preserve"> </w:t>
      </w:r>
      <w:r w:rsidR="001A6C31">
        <w:t xml:space="preserve">demand </w:t>
      </w:r>
      <w:r w:rsidR="00586460">
        <w:t xml:space="preserve">of 56 MW in </w:t>
      </w:r>
      <w:r w:rsidR="001A6C31">
        <w:t xml:space="preserve">Shelbyville, an additional </w:t>
      </w:r>
      <w:proofErr w:type="spellStart"/>
      <w:r w:rsidR="00F53BE1">
        <w:t>genset</w:t>
      </w:r>
      <w:proofErr w:type="spellEnd"/>
      <w:r w:rsidR="001A6C31">
        <w:t xml:space="preserve"> in Springfield </w:t>
      </w:r>
      <w:r w:rsidR="006D5C21">
        <w:t xml:space="preserve">and </w:t>
      </w:r>
      <w:r w:rsidR="001A6C31">
        <w:t xml:space="preserve">a third circuit (raising </w:t>
      </w:r>
      <w:r>
        <w:t xml:space="preserve">the </w:t>
      </w:r>
      <w:r w:rsidR="001A6C31">
        <w:t xml:space="preserve">firm transfer capacity to 200 MVA) are under construction.  The distance is 10 miles.  The cost of </w:t>
      </w:r>
      <w:r w:rsidR="00586460">
        <w:t xml:space="preserve">building </w:t>
      </w:r>
      <w:r>
        <w:t>a</w:t>
      </w:r>
      <w:r w:rsidR="001A6C31">
        <w:t xml:space="preserve"> </w:t>
      </w:r>
      <w:r w:rsidR="006D5C21">
        <w:t xml:space="preserve">new </w:t>
      </w:r>
      <w:r w:rsidR="001A6C31">
        <w:t>circuit is $2 million per mile, i.e. $20 million.</w:t>
      </w:r>
    </w:p>
    <w:p w14:paraId="513CC519" w14:textId="51F4C730" w:rsidR="001A6C31" w:rsidRDefault="00586460" w:rsidP="001A6C31">
      <w:pPr>
        <w:pStyle w:val="Text"/>
        <w:numPr>
          <w:ilvl w:val="1"/>
          <w:numId w:val="3"/>
        </w:numPr>
      </w:pPr>
      <w:r>
        <w:t>If</w:t>
      </w:r>
      <w:r w:rsidR="001A6C31">
        <w:t xml:space="preserve"> National Grid’s </w:t>
      </w:r>
      <w:r w:rsidR="00F53BE1">
        <w:t xml:space="preserve">ICRP </w:t>
      </w:r>
      <w:r w:rsidR="001A6C31">
        <w:t xml:space="preserve">methodology </w:t>
      </w:r>
      <w:proofErr w:type="gramStart"/>
      <w:r w:rsidR="001A6C31">
        <w:t>was</w:t>
      </w:r>
      <w:proofErr w:type="gramEnd"/>
      <w:r w:rsidR="001A6C31">
        <w:t xml:space="preserve"> applicable,</w:t>
      </w:r>
      <w:r w:rsidR="006D5C21">
        <w:t xml:space="preserve"> with a security factor of 1.8,</w:t>
      </w:r>
      <w:r w:rsidR="001A6C31">
        <w:t xml:space="preserve"> charges would be calculated on the basis of a </w:t>
      </w:r>
      <w:r w:rsidR="006D5C21">
        <w:t xml:space="preserve">expansion </w:t>
      </w:r>
      <w:r w:rsidR="001A6C31">
        <w:t>capital cost of $36/kVA/mile</w:t>
      </w:r>
      <w:r w:rsidR="006D5C21">
        <w:t>.</w:t>
      </w:r>
      <w:r w:rsidR="001A6C31">
        <w:t xml:space="preserve"> </w:t>
      </w:r>
      <w:r w:rsidR="006D5C21">
        <w:t xml:space="preserve"> </w:t>
      </w:r>
      <w:r w:rsidR="001A6C31">
        <w:t xml:space="preserve">Assume a rate of return of 5 per cent, and assume that the reference node on the network is half way between Springfield and Shelbyville, then we have a charge of $9/kVA/year plus/minus scaling for Springfield generation, a charge of </w:t>
      </w:r>
      <w:r w:rsidR="00F53BE1">
        <w:t>$</w:t>
      </w:r>
      <w:r w:rsidR="001A6C31">
        <w:t xml:space="preserve">9/kVA/year plus scaling for Shelbyville demand, and a credit of $9/kVA/year minus/plus scaling for Shelbyville generation.  </w:t>
      </w:r>
      <w:r w:rsidR="00F53BE1">
        <w:t xml:space="preserve">Prices are the same </w:t>
      </w:r>
      <w:r w:rsidR="001A6C31">
        <w:t xml:space="preserve">before and after the upgrade project.  </w:t>
      </w:r>
      <w:r>
        <w:t xml:space="preserve">Someone who </w:t>
      </w:r>
      <w:r w:rsidR="001A6C31">
        <w:t xml:space="preserve">purchases </w:t>
      </w:r>
      <w:r w:rsidR="0031081D">
        <w:t>56</w:t>
      </w:r>
      <w:r w:rsidR="001A6C31">
        <w:t xml:space="preserve"> MW</w:t>
      </w:r>
      <w:r w:rsidRPr="00586460">
        <w:t xml:space="preserve"> </w:t>
      </w:r>
      <w:r>
        <w:t>at the plant gate</w:t>
      </w:r>
      <w:r w:rsidR="001A6C31">
        <w:t xml:space="preserve"> from</w:t>
      </w:r>
      <w:r w:rsidR="000D29F9">
        <w:t xml:space="preserve"> the new</w:t>
      </w:r>
      <w:r w:rsidR="001A6C31">
        <w:t xml:space="preserve"> Springfield </w:t>
      </w:r>
      <w:proofErr w:type="spellStart"/>
      <w:r w:rsidR="009C027F">
        <w:t>genset</w:t>
      </w:r>
      <w:proofErr w:type="spellEnd"/>
      <w:r w:rsidR="000D29F9">
        <w:t xml:space="preserve"> </w:t>
      </w:r>
      <w:r w:rsidR="001A6C31">
        <w:t xml:space="preserve">and uses </w:t>
      </w:r>
      <w:r w:rsidR="009C027F">
        <w:t xml:space="preserve">that power </w:t>
      </w:r>
      <w:r w:rsidR="001A6C31">
        <w:t>to supply customers in</w:t>
      </w:r>
      <w:r w:rsidR="0031081D">
        <w:t xml:space="preserve"> Shelbyville will be paying $1</w:t>
      </w:r>
      <w:r w:rsidR="001A6C31">
        <w:t xml:space="preserve"> million a year plus scaling.</w:t>
      </w:r>
      <w:r>
        <w:t xml:space="preserve"> </w:t>
      </w:r>
      <w:r w:rsidR="001A6C31">
        <w:t xml:space="preserve"> </w:t>
      </w:r>
      <w:r w:rsidR="000D29F9">
        <w:t xml:space="preserve">The existing 100 MW </w:t>
      </w:r>
      <w:r w:rsidR="009C027F">
        <w:t>in</w:t>
      </w:r>
      <w:r w:rsidR="009C027F" w:rsidRPr="009C027F">
        <w:t xml:space="preserve"> </w:t>
      </w:r>
      <w:r w:rsidR="009C027F">
        <w:t xml:space="preserve">Shelbyville pays </w:t>
      </w:r>
      <w:r w:rsidR="000D29F9">
        <w:t>$1.8 million</w:t>
      </w:r>
      <w:r w:rsidR="0031081D">
        <w:t xml:space="preserve"> </w:t>
      </w:r>
      <w:r w:rsidR="009C027F">
        <w:t>a year plus scaling in all cases</w:t>
      </w:r>
      <w:r>
        <w:t xml:space="preserve">.  </w:t>
      </w:r>
      <w:r w:rsidR="006E33E4">
        <w:t>Network</w:t>
      </w:r>
      <w:r>
        <w:t xml:space="preserve"> revenue after the upgrade is $</w:t>
      </w:r>
      <w:r w:rsidR="0031081D">
        <w:t>2.8</w:t>
      </w:r>
      <w:r w:rsidR="000D29F9">
        <w:t xml:space="preserve"> million </w:t>
      </w:r>
      <w:r>
        <w:t>plus scaling.</w:t>
      </w:r>
      <w:r w:rsidR="000D29F9">
        <w:t xml:space="preserve"> </w:t>
      </w:r>
    </w:p>
    <w:p w14:paraId="23624306" w14:textId="480AD54C" w:rsidR="006D5C21" w:rsidRDefault="00C761DE" w:rsidP="001A6C31">
      <w:pPr>
        <w:pStyle w:val="Text"/>
        <w:numPr>
          <w:ilvl w:val="1"/>
          <w:numId w:val="3"/>
        </w:numPr>
      </w:pPr>
      <w:r>
        <w:t>If the</w:t>
      </w:r>
      <w:r w:rsidR="006D5C21">
        <w:t xml:space="preserve"> </w:t>
      </w:r>
      <w:r>
        <w:t xml:space="preserve">EDCM as modified by DCP 206 (to remove FCP and LRIC from demand tariffs) </w:t>
      </w:r>
      <w:proofErr w:type="gramStart"/>
      <w:r w:rsidR="006D5C21">
        <w:t>was</w:t>
      </w:r>
      <w:proofErr w:type="gramEnd"/>
      <w:r w:rsidR="006D5C21">
        <w:t xml:space="preserve"> applicable, then the main element of the charges would be applied to demand (EDCM generation capacity charges are almost negligible).  The primary basis of calculation </w:t>
      </w:r>
      <w:r w:rsidR="009C027F">
        <w:t>is</w:t>
      </w:r>
      <w:r w:rsidR="006D5C21">
        <w:t xml:space="preserve"> a 500 MW model and network use factors.  Because of a lack of transparency, we do not how things work in practice, so we make assumptions.  Say that the relevant level in the 500 MW model is based on radial double circuits averaging 5 miles in </w:t>
      </w:r>
      <w:r w:rsidR="000D29F9">
        <w:t xml:space="preserve">route </w:t>
      </w:r>
      <w:r w:rsidR="006D5C21">
        <w:t xml:space="preserve">length, so that </w:t>
      </w:r>
      <w:r w:rsidR="009C027F">
        <w:t xml:space="preserve">the 500 MW model costs $100 million i.e. </w:t>
      </w:r>
      <w:r w:rsidR="006D5C21">
        <w:t>$20</w:t>
      </w:r>
      <w:r w:rsidR="009C027F">
        <w:t>0/kW</w:t>
      </w:r>
      <w:r w:rsidR="006D5C21">
        <w:t xml:space="preserve">.  </w:t>
      </w:r>
      <w:r w:rsidR="000D29F9">
        <w:t>B</w:t>
      </w:r>
      <w:r w:rsidR="006D5C21">
        <w:t>efore the upgrade</w:t>
      </w:r>
      <w:r w:rsidR="000D29F9">
        <w:t xml:space="preserve">, 100 MW of Shelbyville demand share $40 million worth of circuits, so the network use factor is 2 (as expected: the route length is double the 500 MW model assumption).  After </w:t>
      </w:r>
      <w:r w:rsidR="006D5C21">
        <w:t>the upgrade</w:t>
      </w:r>
      <w:r w:rsidR="000D29F9">
        <w:t xml:space="preserve">, </w:t>
      </w:r>
      <w:r w:rsidR="0031081D">
        <w:t>156</w:t>
      </w:r>
      <w:r w:rsidR="000D29F9">
        <w:t xml:space="preserve"> MW of Shelbyville demand share $60 million</w:t>
      </w:r>
      <w:r w:rsidR="00586460">
        <w:t xml:space="preserve"> MEAV</w:t>
      </w:r>
      <w:r w:rsidR="000D29F9">
        <w:t xml:space="preserve">, </w:t>
      </w:r>
      <w:r w:rsidR="0031081D">
        <w:t>so the network use factor is 1.92</w:t>
      </w:r>
      <w:r w:rsidR="006D5C21">
        <w:t>.</w:t>
      </w:r>
      <w:r w:rsidR="000D29F9">
        <w:t xml:space="preserve">  Assume that the </w:t>
      </w:r>
      <w:r>
        <w:t>only</w:t>
      </w:r>
      <w:r w:rsidR="000D29F9">
        <w:t xml:space="preserve"> element of EDCM charges is a 5 per cent asset </w:t>
      </w:r>
      <w:proofErr w:type="spellStart"/>
      <w:r w:rsidR="000D29F9">
        <w:t>scaler</w:t>
      </w:r>
      <w:proofErr w:type="spellEnd"/>
      <w:r w:rsidR="000D29F9">
        <w:t xml:space="preserve">.  Then the current 100 MW </w:t>
      </w:r>
      <w:r w:rsidR="009C027F">
        <w:t xml:space="preserve">in </w:t>
      </w:r>
      <w:r w:rsidR="000D29F9">
        <w:t xml:space="preserve">Shelbyville </w:t>
      </w:r>
      <w:r w:rsidR="009C027F">
        <w:t xml:space="preserve">are </w:t>
      </w:r>
      <w:r w:rsidR="000D29F9">
        <w:t xml:space="preserve">paying $2 million (100,000*2*200*5%), and after the upgrade the </w:t>
      </w:r>
      <w:r w:rsidR="00586460">
        <w:t>156</w:t>
      </w:r>
      <w:r w:rsidR="000D29F9">
        <w:t xml:space="preserve"> MW in Shelbyville are </w:t>
      </w:r>
      <w:r w:rsidR="0031081D">
        <w:t>paying $3 million (156,000*1.92</w:t>
      </w:r>
      <w:r w:rsidR="00586460">
        <w:t>*200*5%).</w:t>
      </w:r>
    </w:p>
    <w:bookmarkEnd w:id="1"/>
    <w:p w14:paraId="0BB20916" w14:textId="410AC5C3" w:rsidR="00586460" w:rsidRDefault="00586460" w:rsidP="001A6C31">
      <w:pPr>
        <w:pStyle w:val="Text"/>
      </w:pPr>
      <w:r>
        <w:t>If</w:t>
      </w:r>
      <w:r w:rsidR="0031081D">
        <w:t xml:space="preserve"> </w:t>
      </w:r>
      <w:r w:rsidR="006D5C21">
        <w:t xml:space="preserve">a pre-DCP 206 EDCM </w:t>
      </w:r>
      <w:proofErr w:type="gramStart"/>
      <w:r w:rsidR="006D5C21">
        <w:t>was</w:t>
      </w:r>
      <w:proofErr w:type="gramEnd"/>
      <w:r w:rsidR="006D5C21">
        <w:t xml:space="preserve"> applicable</w:t>
      </w:r>
      <w:r>
        <w:t xml:space="preserve">, the asset </w:t>
      </w:r>
      <w:proofErr w:type="spellStart"/>
      <w:r>
        <w:t>scaler</w:t>
      </w:r>
      <w:proofErr w:type="spellEnd"/>
      <w:r>
        <w:t xml:space="preserve"> would be lower, say 4</w:t>
      </w:r>
      <w:r w:rsidR="000D29F9">
        <w:t xml:space="preserve"> per cent.  </w:t>
      </w:r>
      <w:r w:rsidR="0031081D">
        <w:t>Before the upgrade, the LRIC or FCP number is high since there is an imminent reinforcement.  Say that a LRIC cap of $20/kVA/year applies (</w:t>
      </w:r>
      <w:r>
        <w:t xml:space="preserve">cap </w:t>
      </w:r>
      <w:r w:rsidR="0031081D">
        <w:t xml:space="preserve">of $2 million a year </w:t>
      </w:r>
      <w:r>
        <w:t xml:space="preserve">based </w:t>
      </w:r>
      <w:r w:rsidR="0031081D">
        <w:t xml:space="preserve">on $40 million of assets, spread across 100 MVA).  The charge before the upgrade is </w:t>
      </w:r>
      <w:r>
        <w:t>$20/kVA/year from LRIC plus $16</w:t>
      </w:r>
      <w:r w:rsidR="0031081D">
        <w:t>/kVA/year fr</w:t>
      </w:r>
      <w:r>
        <w:t>om network use factors, i.e. $36/kVA/year, or $3.6</w:t>
      </w:r>
      <w:r w:rsidR="0031081D">
        <w:t xml:space="preserve"> million across t</w:t>
      </w:r>
      <w:r>
        <w:t>he Shelbyville demand of 100 MW</w:t>
      </w:r>
      <w:r w:rsidR="00C761DE">
        <w:t xml:space="preserve">.  This is an excessive charge for the use of $40 million worth of assets; the overcharge arises from the fact that existing Shelbyville customers are forced to contribute towards the costs of an upgrade </w:t>
      </w:r>
      <w:r w:rsidR="009C027F">
        <w:t xml:space="preserve">that </w:t>
      </w:r>
      <w:r w:rsidR="00C761DE">
        <w:t xml:space="preserve">they </w:t>
      </w:r>
      <w:r w:rsidR="009C027F">
        <w:t>do no</w:t>
      </w:r>
      <w:r w:rsidR="00C761DE">
        <w:t>t need</w:t>
      </w:r>
      <w:r w:rsidR="0031081D">
        <w:t xml:space="preserve">.  </w:t>
      </w:r>
      <w:r w:rsidR="000D29F9">
        <w:t>After the upgrade</w:t>
      </w:r>
      <w:r w:rsidR="0031081D">
        <w:t>, the likely FCP or LRIC number is zero or negligible, since there is spare capacity</w:t>
      </w:r>
      <w:r>
        <w:t xml:space="preserve"> on the </w:t>
      </w:r>
      <w:r w:rsidR="00C761DE">
        <w:t xml:space="preserve">upgraded </w:t>
      </w:r>
      <w:r>
        <w:t>triple-</w:t>
      </w:r>
      <w:r w:rsidR="00C761DE">
        <w:t xml:space="preserve">circuit line: with </w:t>
      </w:r>
      <w:r>
        <w:t>a 1.</w:t>
      </w:r>
      <w:r w:rsidR="00F53BE1">
        <w:t xml:space="preserve">92 network use factor </w:t>
      </w:r>
      <w:r w:rsidR="00C761DE">
        <w:t xml:space="preserve">the post-upgrade charge </w:t>
      </w:r>
      <w:r w:rsidR="00F53BE1">
        <w:t>comes to $</w:t>
      </w:r>
      <w:r>
        <w:t xml:space="preserve">15.4/kVA/year, i.e. $2.4 million on the whole 156 MW of </w:t>
      </w:r>
      <w:r w:rsidR="00F53BE1">
        <w:t xml:space="preserve">Shelbyville </w:t>
      </w:r>
      <w:r>
        <w:t>demand.</w:t>
      </w:r>
    </w:p>
    <w:p w14:paraId="4813448B" w14:textId="77777777" w:rsidR="00F53BE1" w:rsidRDefault="00F53BE1" w:rsidP="00F53BE1">
      <w:pPr>
        <w:pStyle w:val="Caption"/>
      </w:pPr>
      <w:r>
        <w:lastRenderedPageBreak/>
        <w:t xml:space="preserve">Table </w:t>
      </w:r>
      <w:r>
        <w:fldChar w:fldCharType="begin"/>
      </w:r>
      <w:r>
        <w:instrText xml:space="preserve"> SEQ Table \* ARABIC </w:instrText>
      </w:r>
      <w:r>
        <w:fldChar w:fldCharType="separate"/>
      </w:r>
      <w:r>
        <w:rPr>
          <w:noProof/>
        </w:rPr>
        <w:t>1</w:t>
      </w:r>
      <w:r>
        <w:fldChar w:fldCharType="end"/>
      </w:r>
      <w:r>
        <w:tab/>
        <w:t>Comparison</w:t>
      </w:r>
      <w:r w:rsidR="00013E91">
        <w:t xml:space="preserve"> of results</w:t>
      </w:r>
      <w:r>
        <w:t xml:space="preserve"> between </w:t>
      </w:r>
      <w:r w:rsidR="00013E91">
        <w:t xml:space="preserve">the three </w:t>
      </w:r>
      <w:r>
        <w:t>methodologies</w:t>
      </w:r>
    </w:p>
    <w:tbl>
      <w:tblPr>
        <w:tblStyle w:val="TableGrid"/>
        <w:tblW w:w="0" w:type="auto"/>
        <w:tblLook w:val="04A0" w:firstRow="1" w:lastRow="0" w:firstColumn="1" w:lastColumn="0" w:noHBand="0" w:noVBand="1"/>
      </w:tblPr>
      <w:tblGrid>
        <w:gridCol w:w="3600"/>
        <w:gridCol w:w="1800"/>
        <w:gridCol w:w="1800"/>
        <w:gridCol w:w="1800"/>
      </w:tblGrid>
      <w:tr w:rsidR="00F53BE1" w14:paraId="0770D203" w14:textId="77777777" w:rsidTr="00F53BE1">
        <w:tc>
          <w:tcPr>
            <w:tcW w:w="3600" w:type="dxa"/>
          </w:tcPr>
          <w:p w14:paraId="26396123" w14:textId="77777777" w:rsidR="00F53BE1" w:rsidRDefault="00F53BE1" w:rsidP="00F53BE1">
            <w:pPr>
              <w:pStyle w:val="Table"/>
            </w:pPr>
          </w:p>
        </w:tc>
        <w:tc>
          <w:tcPr>
            <w:tcW w:w="1800" w:type="dxa"/>
          </w:tcPr>
          <w:p w14:paraId="025050FD" w14:textId="77777777" w:rsidR="00F53BE1" w:rsidRPr="00F53BE1" w:rsidRDefault="00F53BE1" w:rsidP="00F53BE1">
            <w:pPr>
              <w:pStyle w:val="Table"/>
              <w:jc w:val="center"/>
            </w:pPr>
            <w:r w:rsidRPr="00F53BE1">
              <w:t>ICRP</w:t>
            </w:r>
            <w:r w:rsidRPr="00F53BE1">
              <w:br/>
            </w:r>
            <w:r>
              <w:t>without scaling</w:t>
            </w:r>
          </w:p>
        </w:tc>
        <w:tc>
          <w:tcPr>
            <w:tcW w:w="1800" w:type="dxa"/>
          </w:tcPr>
          <w:p w14:paraId="5E3FA225" w14:textId="5551B284" w:rsidR="00F53BE1" w:rsidRPr="00F53BE1" w:rsidRDefault="00F53BE1" w:rsidP="00F53BE1">
            <w:pPr>
              <w:pStyle w:val="Table"/>
              <w:jc w:val="center"/>
            </w:pPr>
            <w:r w:rsidRPr="00F53BE1">
              <w:t xml:space="preserve">Post-DCP 206 </w:t>
            </w:r>
            <w:r w:rsidR="009C027F">
              <w:t xml:space="preserve">simplified </w:t>
            </w:r>
            <w:r w:rsidRPr="00F53BE1">
              <w:t>EDCM</w:t>
            </w:r>
          </w:p>
        </w:tc>
        <w:tc>
          <w:tcPr>
            <w:tcW w:w="1800" w:type="dxa"/>
          </w:tcPr>
          <w:p w14:paraId="4A3C540A" w14:textId="66156625" w:rsidR="00F53BE1" w:rsidRPr="00F53BE1" w:rsidRDefault="00F53BE1" w:rsidP="00F53BE1">
            <w:pPr>
              <w:pStyle w:val="Table"/>
              <w:jc w:val="center"/>
            </w:pPr>
            <w:r w:rsidRPr="00F53BE1">
              <w:t xml:space="preserve">Pre-DCP 206 </w:t>
            </w:r>
            <w:r w:rsidR="009C027F">
              <w:t xml:space="preserve">simplified </w:t>
            </w:r>
            <w:r w:rsidRPr="00F53BE1">
              <w:t>EDCM</w:t>
            </w:r>
          </w:p>
        </w:tc>
      </w:tr>
      <w:tr w:rsidR="00013E91" w:rsidRPr="00013E91" w14:paraId="33267C9B" w14:textId="77777777" w:rsidTr="00A04AFC">
        <w:tc>
          <w:tcPr>
            <w:tcW w:w="9000" w:type="dxa"/>
            <w:gridSpan w:val="4"/>
          </w:tcPr>
          <w:p w14:paraId="0E35706B" w14:textId="77777777" w:rsidR="00013E91" w:rsidRPr="00013E91" w:rsidRDefault="00013E91" w:rsidP="00013E91">
            <w:pPr>
              <w:pStyle w:val="Table"/>
              <w:rPr>
                <w:i/>
              </w:rPr>
            </w:pPr>
            <w:r w:rsidRPr="00013E91">
              <w:rPr>
                <w:i/>
              </w:rPr>
              <w:t>Before the network upgrade</w:t>
            </w:r>
          </w:p>
        </w:tc>
      </w:tr>
      <w:tr w:rsidR="009C027F" w14:paraId="0BAC561A" w14:textId="77777777" w:rsidTr="006F3B53">
        <w:tc>
          <w:tcPr>
            <w:tcW w:w="3600" w:type="dxa"/>
          </w:tcPr>
          <w:p w14:paraId="668727F0" w14:textId="77777777" w:rsidR="009C027F" w:rsidRDefault="009C027F" w:rsidP="006F3B53">
            <w:pPr>
              <w:pStyle w:val="Table"/>
            </w:pPr>
          </w:p>
        </w:tc>
        <w:tc>
          <w:tcPr>
            <w:tcW w:w="1800" w:type="dxa"/>
          </w:tcPr>
          <w:p w14:paraId="6A141606" w14:textId="44E828FF" w:rsidR="009C027F" w:rsidRPr="00F53BE1" w:rsidRDefault="009C027F" w:rsidP="006F3B53">
            <w:pPr>
              <w:pStyle w:val="Table"/>
              <w:jc w:val="center"/>
            </w:pPr>
            <w:r w:rsidRPr="00F53BE1">
              <w:t>ICRP</w:t>
            </w:r>
            <w:r w:rsidRPr="00F53BE1">
              <w:br/>
            </w:r>
            <w:r>
              <w:t>without scaling</w:t>
            </w:r>
          </w:p>
        </w:tc>
        <w:tc>
          <w:tcPr>
            <w:tcW w:w="1800" w:type="dxa"/>
          </w:tcPr>
          <w:p w14:paraId="1F9DDD57" w14:textId="6B427650" w:rsidR="009C027F" w:rsidRPr="00F53BE1" w:rsidRDefault="009C027F" w:rsidP="006F3B53">
            <w:pPr>
              <w:pStyle w:val="Table"/>
              <w:jc w:val="center"/>
            </w:pPr>
            <w:r w:rsidRPr="00F53BE1">
              <w:t xml:space="preserve">Post-DCP 206 </w:t>
            </w:r>
            <w:r>
              <w:t xml:space="preserve">simplified </w:t>
            </w:r>
            <w:r w:rsidRPr="00F53BE1">
              <w:t>EDCM</w:t>
            </w:r>
          </w:p>
        </w:tc>
        <w:tc>
          <w:tcPr>
            <w:tcW w:w="1800" w:type="dxa"/>
          </w:tcPr>
          <w:p w14:paraId="0641216F" w14:textId="7B059172" w:rsidR="009C027F" w:rsidRPr="00F53BE1" w:rsidRDefault="009C027F" w:rsidP="006F3B53">
            <w:pPr>
              <w:pStyle w:val="Table"/>
              <w:jc w:val="center"/>
            </w:pPr>
            <w:r w:rsidRPr="00F53BE1">
              <w:t xml:space="preserve">Pre-DCP 206 </w:t>
            </w:r>
            <w:r>
              <w:t xml:space="preserve">simplified </w:t>
            </w:r>
            <w:r w:rsidRPr="00F53BE1">
              <w:t>EDCM</w:t>
            </w:r>
          </w:p>
        </w:tc>
      </w:tr>
      <w:tr w:rsidR="009C027F" w14:paraId="6CE5F26F" w14:textId="77777777" w:rsidTr="00F53BE1">
        <w:tc>
          <w:tcPr>
            <w:tcW w:w="3600" w:type="dxa"/>
          </w:tcPr>
          <w:p w14:paraId="6D6FCE74" w14:textId="77777777" w:rsidR="009C027F" w:rsidRDefault="009C027F" w:rsidP="00F53BE1">
            <w:pPr>
              <w:pStyle w:val="Table"/>
            </w:pPr>
            <w:r>
              <w:t>Network MEAV before the upgrade</w:t>
            </w:r>
          </w:p>
        </w:tc>
        <w:tc>
          <w:tcPr>
            <w:tcW w:w="1800" w:type="dxa"/>
          </w:tcPr>
          <w:p w14:paraId="75501C04" w14:textId="77777777" w:rsidR="009C027F" w:rsidRPr="00F53BE1" w:rsidRDefault="009C027F" w:rsidP="00F53BE1">
            <w:pPr>
              <w:pStyle w:val="Table"/>
              <w:jc w:val="center"/>
            </w:pPr>
            <w:r>
              <w:t>$40 million</w:t>
            </w:r>
          </w:p>
        </w:tc>
        <w:tc>
          <w:tcPr>
            <w:tcW w:w="1800" w:type="dxa"/>
          </w:tcPr>
          <w:p w14:paraId="1D4FCA9A" w14:textId="77777777" w:rsidR="009C027F" w:rsidRPr="00F53BE1" w:rsidRDefault="009C027F" w:rsidP="00F53BE1">
            <w:pPr>
              <w:pStyle w:val="Table"/>
              <w:jc w:val="center"/>
            </w:pPr>
            <w:r>
              <w:t>$40 million</w:t>
            </w:r>
          </w:p>
        </w:tc>
        <w:tc>
          <w:tcPr>
            <w:tcW w:w="1800" w:type="dxa"/>
          </w:tcPr>
          <w:p w14:paraId="191C473F" w14:textId="77777777" w:rsidR="009C027F" w:rsidRPr="00F53BE1" w:rsidRDefault="009C027F" w:rsidP="00F53BE1">
            <w:pPr>
              <w:pStyle w:val="Table"/>
              <w:jc w:val="center"/>
            </w:pPr>
            <w:r>
              <w:t>$40 million</w:t>
            </w:r>
          </w:p>
        </w:tc>
      </w:tr>
      <w:tr w:rsidR="009C027F" w14:paraId="73E5E177" w14:textId="77777777" w:rsidTr="00013E91">
        <w:tc>
          <w:tcPr>
            <w:tcW w:w="3600" w:type="dxa"/>
          </w:tcPr>
          <w:p w14:paraId="4C926F27" w14:textId="77777777" w:rsidR="009C027F" w:rsidRDefault="009C027F" w:rsidP="00F53BE1">
            <w:pPr>
              <w:pStyle w:val="Table"/>
            </w:pPr>
            <w:r>
              <w:t>Network charge before the upgrade</w:t>
            </w:r>
          </w:p>
        </w:tc>
        <w:tc>
          <w:tcPr>
            <w:tcW w:w="1800" w:type="dxa"/>
          </w:tcPr>
          <w:p w14:paraId="28BF1B7D" w14:textId="77777777" w:rsidR="009C027F" w:rsidRDefault="009C027F" w:rsidP="00F53BE1">
            <w:pPr>
              <w:pStyle w:val="Table"/>
              <w:jc w:val="center"/>
            </w:pPr>
            <w:r>
              <w:t>$18.0/kVA/year</w:t>
            </w:r>
          </w:p>
        </w:tc>
        <w:tc>
          <w:tcPr>
            <w:tcW w:w="1800" w:type="dxa"/>
          </w:tcPr>
          <w:p w14:paraId="468E489A" w14:textId="77777777" w:rsidR="009C027F" w:rsidRDefault="009C027F" w:rsidP="00F53BE1">
            <w:pPr>
              <w:pStyle w:val="Table"/>
              <w:jc w:val="center"/>
            </w:pPr>
            <w:r>
              <w:t>$20.0/kVA/year</w:t>
            </w:r>
          </w:p>
        </w:tc>
        <w:tc>
          <w:tcPr>
            <w:tcW w:w="1800" w:type="dxa"/>
            <w:shd w:val="clear" w:color="auto" w:fill="F2DBDB" w:themeFill="accent2" w:themeFillTint="33"/>
          </w:tcPr>
          <w:p w14:paraId="5B840CA4" w14:textId="77777777" w:rsidR="009C027F" w:rsidRDefault="009C027F" w:rsidP="00F53BE1">
            <w:pPr>
              <w:pStyle w:val="Table"/>
              <w:jc w:val="center"/>
            </w:pPr>
            <w:r>
              <w:t>$36.0/kVA/year</w:t>
            </w:r>
          </w:p>
        </w:tc>
      </w:tr>
      <w:tr w:rsidR="009C027F" w14:paraId="4642363C" w14:textId="77777777" w:rsidTr="009C027F">
        <w:tc>
          <w:tcPr>
            <w:tcW w:w="3600" w:type="dxa"/>
          </w:tcPr>
          <w:p w14:paraId="55079607" w14:textId="77777777" w:rsidR="009C027F" w:rsidRDefault="009C027F" w:rsidP="00F53BE1">
            <w:pPr>
              <w:pStyle w:val="Table"/>
            </w:pPr>
            <w:r>
              <w:t>Network revenue before the upgrade</w:t>
            </w:r>
          </w:p>
        </w:tc>
        <w:tc>
          <w:tcPr>
            <w:tcW w:w="1800" w:type="dxa"/>
          </w:tcPr>
          <w:p w14:paraId="1F1377DE" w14:textId="77777777" w:rsidR="009C027F" w:rsidRDefault="009C027F" w:rsidP="00F53BE1">
            <w:pPr>
              <w:pStyle w:val="Table"/>
              <w:jc w:val="center"/>
            </w:pPr>
            <w:r>
              <w:t>$1.8 million/year</w:t>
            </w:r>
          </w:p>
        </w:tc>
        <w:tc>
          <w:tcPr>
            <w:tcW w:w="1800" w:type="dxa"/>
          </w:tcPr>
          <w:p w14:paraId="48EA33A6" w14:textId="77777777" w:rsidR="009C027F" w:rsidRDefault="009C027F" w:rsidP="00F53BE1">
            <w:pPr>
              <w:pStyle w:val="Table"/>
              <w:jc w:val="center"/>
            </w:pPr>
            <w:r>
              <w:t>$2.0 million/year</w:t>
            </w:r>
          </w:p>
        </w:tc>
        <w:tc>
          <w:tcPr>
            <w:tcW w:w="1800" w:type="dxa"/>
            <w:shd w:val="clear" w:color="auto" w:fill="F2DBDB" w:themeFill="accent2" w:themeFillTint="33"/>
          </w:tcPr>
          <w:p w14:paraId="5BCC4364" w14:textId="77777777" w:rsidR="009C027F" w:rsidRDefault="009C027F" w:rsidP="00F53BE1">
            <w:pPr>
              <w:pStyle w:val="Table"/>
              <w:jc w:val="center"/>
            </w:pPr>
            <w:r>
              <w:t>$3.6 million/year</w:t>
            </w:r>
          </w:p>
        </w:tc>
      </w:tr>
      <w:tr w:rsidR="009C027F" w14:paraId="34E7CD46" w14:textId="77777777" w:rsidTr="00013E91">
        <w:tc>
          <w:tcPr>
            <w:tcW w:w="3600" w:type="dxa"/>
          </w:tcPr>
          <w:p w14:paraId="75276CA4" w14:textId="77777777" w:rsidR="009C027F" w:rsidRDefault="009C027F" w:rsidP="00F53BE1">
            <w:pPr>
              <w:pStyle w:val="Table"/>
            </w:pPr>
            <w:r>
              <w:t>Return on MEAV before the upgrade</w:t>
            </w:r>
          </w:p>
        </w:tc>
        <w:tc>
          <w:tcPr>
            <w:tcW w:w="1800" w:type="dxa"/>
          </w:tcPr>
          <w:p w14:paraId="047FCF69" w14:textId="77777777" w:rsidR="009C027F" w:rsidRDefault="009C027F" w:rsidP="00F53BE1">
            <w:pPr>
              <w:pStyle w:val="Table"/>
              <w:jc w:val="center"/>
            </w:pPr>
            <w:r>
              <w:t>4.5%</w:t>
            </w:r>
          </w:p>
        </w:tc>
        <w:tc>
          <w:tcPr>
            <w:tcW w:w="1800" w:type="dxa"/>
          </w:tcPr>
          <w:p w14:paraId="36449E20" w14:textId="77777777" w:rsidR="009C027F" w:rsidRDefault="009C027F" w:rsidP="00F53BE1">
            <w:pPr>
              <w:pStyle w:val="Table"/>
              <w:jc w:val="center"/>
            </w:pPr>
            <w:r>
              <w:t>5.0%</w:t>
            </w:r>
          </w:p>
        </w:tc>
        <w:tc>
          <w:tcPr>
            <w:tcW w:w="1800" w:type="dxa"/>
            <w:shd w:val="clear" w:color="auto" w:fill="F2DBDB" w:themeFill="accent2" w:themeFillTint="33"/>
          </w:tcPr>
          <w:p w14:paraId="01730732" w14:textId="0011904F" w:rsidR="009C027F" w:rsidRDefault="009C027F" w:rsidP="00C761DE">
            <w:pPr>
              <w:pStyle w:val="Table"/>
              <w:jc w:val="center"/>
            </w:pPr>
            <w:r>
              <w:t>9.0%</w:t>
            </w:r>
          </w:p>
        </w:tc>
      </w:tr>
      <w:tr w:rsidR="009C027F" w:rsidRPr="00013E91" w14:paraId="09789CDF" w14:textId="77777777" w:rsidTr="006F3B53">
        <w:tc>
          <w:tcPr>
            <w:tcW w:w="9000" w:type="dxa"/>
            <w:gridSpan w:val="4"/>
          </w:tcPr>
          <w:p w14:paraId="3BBAD48B" w14:textId="77777777" w:rsidR="009C027F" w:rsidRPr="00013E91" w:rsidRDefault="009C027F" w:rsidP="00013E91">
            <w:pPr>
              <w:pStyle w:val="Table"/>
              <w:rPr>
                <w:i/>
              </w:rPr>
            </w:pPr>
            <w:r>
              <w:rPr>
                <w:i/>
              </w:rPr>
              <w:t>After</w:t>
            </w:r>
            <w:r w:rsidRPr="00013E91">
              <w:rPr>
                <w:i/>
              </w:rPr>
              <w:t xml:space="preserve"> the network upgrade</w:t>
            </w:r>
          </w:p>
        </w:tc>
      </w:tr>
      <w:tr w:rsidR="009C027F" w14:paraId="3CA92B81" w14:textId="77777777" w:rsidTr="006F3B53">
        <w:tc>
          <w:tcPr>
            <w:tcW w:w="3600" w:type="dxa"/>
          </w:tcPr>
          <w:p w14:paraId="7326D400" w14:textId="77777777" w:rsidR="009C027F" w:rsidRDefault="009C027F" w:rsidP="006F3B53">
            <w:pPr>
              <w:pStyle w:val="Table"/>
            </w:pPr>
          </w:p>
        </w:tc>
        <w:tc>
          <w:tcPr>
            <w:tcW w:w="1800" w:type="dxa"/>
          </w:tcPr>
          <w:p w14:paraId="339FFEA9" w14:textId="279D006A" w:rsidR="009C027F" w:rsidRPr="00F53BE1" w:rsidRDefault="009C027F" w:rsidP="006F3B53">
            <w:pPr>
              <w:pStyle w:val="Table"/>
              <w:jc w:val="center"/>
            </w:pPr>
            <w:r w:rsidRPr="00F53BE1">
              <w:t>ICRP</w:t>
            </w:r>
            <w:r w:rsidRPr="00F53BE1">
              <w:br/>
            </w:r>
            <w:r>
              <w:t>without scaling</w:t>
            </w:r>
          </w:p>
        </w:tc>
        <w:tc>
          <w:tcPr>
            <w:tcW w:w="1800" w:type="dxa"/>
          </w:tcPr>
          <w:p w14:paraId="1BF95A36" w14:textId="3B6417C1" w:rsidR="009C027F" w:rsidRPr="00F53BE1" w:rsidRDefault="009C027F" w:rsidP="006F3B53">
            <w:pPr>
              <w:pStyle w:val="Table"/>
              <w:jc w:val="center"/>
            </w:pPr>
            <w:r w:rsidRPr="00F53BE1">
              <w:t xml:space="preserve">Post-DCP 206 </w:t>
            </w:r>
            <w:r>
              <w:t xml:space="preserve">simplified </w:t>
            </w:r>
            <w:r w:rsidRPr="00F53BE1">
              <w:t>EDCM</w:t>
            </w:r>
          </w:p>
        </w:tc>
        <w:tc>
          <w:tcPr>
            <w:tcW w:w="1800" w:type="dxa"/>
          </w:tcPr>
          <w:p w14:paraId="480681AA" w14:textId="5CC55B75" w:rsidR="009C027F" w:rsidRPr="00F53BE1" w:rsidRDefault="009C027F" w:rsidP="006F3B53">
            <w:pPr>
              <w:pStyle w:val="Table"/>
              <w:jc w:val="center"/>
            </w:pPr>
            <w:r w:rsidRPr="00F53BE1">
              <w:t xml:space="preserve">Pre-DCP 206 </w:t>
            </w:r>
            <w:r>
              <w:t xml:space="preserve">simplified </w:t>
            </w:r>
            <w:r w:rsidRPr="00F53BE1">
              <w:t>EDCM</w:t>
            </w:r>
          </w:p>
        </w:tc>
      </w:tr>
      <w:tr w:rsidR="009C027F" w14:paraId="6B828902" w14:textId="77777777" w:rsidTr="00F53BE1">
        <w:tc>
          <w:tcPr>
            <w:tcW w:w="3600" w:type="dxa"/>
          </w:tcPr>
          <w:p w14:paraId="40F6B80C" w14:textId="77777777" w:rsidR="009C027F" w:rsidRDefault="009C027F" w:rsidP="00F53BE1">
            <w:pPr>
              <w:pStyle w:val="Table"/>
            </w:pPr>
            <w:r>
              <w:t>Network MEAV after the upgrade</w:t>
            </w:r>
          </w:p>
        </w:tc>
        <w:tc>
          <w:tcPr>
            <w:tcW w:w="1800" w:type="dxa"/>
          </w:tcPr>
          <w:p w14:paraId="53FF8970" w14:textId="77777777" w:rsidR="009C027F" w:rsidRPr="00F53BE1" w:rsidRDefault="009C027F" w:rsidP="00F53BE1">
            <w:pPr>
              <w:pStyle w:val="Table"/>
              <w:jc w:val="center"/>
            </w:pPr>
            <w:r>
              <w:t>$60 million</w:t>
            </w:r>
          </w:p>
        </w:tc>
        <w:tc>
          <w:tcPr>
            <w:tcW w:w="1800" w:type="dxa"/>
          </w:tcPr>
          <w:p w14:paraId="0D4868CE" w14:textId="77777777" w:rsidR="009C027F" w:rsidRPr="00F53BE1" w:rsidRDefault="009C027F" w:rsidP="00F53BE1">
            <w:pPr>
              <w:pStyle w:val="Table"/>
              <w:jc w:val="center"/>
            </w:pPr>
            <w:r>
              <w:t>$60 million</w:t>
            </w:r>
          </w:p>
        </w:tc>
        <w:tc>
          <w:tcPr>
            <w:tcW w:w="1800" w:type="dxa"/>
          </w:tcPr>
          <w:p w14:paraId="2DE95585" w14:textId="77777777" w:rsidR="009C027F" w:rsidRPr="00F53BE1" w:rsidRDefault="009C027F" w:rsidP="00F53BE1">
            <w:pPr>
              <w:pStyle w:val="Table"/>
              <w:jc w:val="center"/>
            </w:pPr>
            <w:r>
              <w:t>$60 million</w:t>
            </w:r>
          </w:p>
        </w:tc>
      </w:tr>
      <w:tr w:rsidR="009C027F" w14:paraId="2AAA2061" w14:textId="77777777" w:rsidTr="00F53BE1">
        <w:tc>
          <w:tcPr>
            <w:tcW w:w="3600" w:type="dxa"/>
          </w:tcPr>
          <w:p w14:paraId="09CF0CB0" w14:textId="77777777" w:rsidR="009C027F" w:rsidRDefault="009C027F" w:rsidP="00F53BE1">
            <w:pPr>
              <w:pStyle w:val="Table"/>
            </w:pPr>
            <w:r>
              <w:t>Network charge after the upgrade</w:t>
            </w:r>
          </w:p>
        </w:tc>
        <w:tc>
          <w:tcPr>
            <w:tcW w:w="1800" w:type="dxa"/>
          </w:tcPr>
          <w:p w14:paraId="67267242" w14:textId="77777777" w:rsidR="009C027F" w:rsidRDefault="009C027F" w:rsidP="00F53BE1">
            <w:pPr>
              <w:pStyle w:val="Table"/>
              <w:jc w:val="center"/>
            </w:pPr>
            <w:r>
              <w:t>$18.0/kVA/year</w:t>
            </w:r>
          </w:p>
        </w:tc>
        <w:tc>
          <w:tcPr>
            <w:tcW w:w="1800" w:type="dxa"/>
          </w:tcPr>
          <w:p w14:paraId="48FA4244" w14:textId="77777777" w:rsidR="009C027F" w:rsidRDefault="009C027F" w:rsidP="00F53BE1">
            <w:pPr>
              <w:pStyle w:val="Table"/>
              <w:jc w:val="center"/>
            </w:pPr>
            <w:r>
              <w:t>$19.2/kVA/year</w:t>
            </w:r>
          </w:p>
        </w:tc>
        <w:tc>
          <w:tcPr>
            <w:tcW w:w="1800" w:type="dxa"/>
          </w:tcPr>
          <w:p w14:paraId="43CD00F2" w14:textId="77777777" w:rsidR="009C027F" w:rsidRDefault="009C027F" w:rsidP="00F53BE1">
            <w:pPr>
              <w:pStyle w:val="Table"/>
              <w:jc w:val="center"/>
            </w:pPr>
            <w:r>
              <w:t>$15.4/kVA/year</w:t>
            </w:r>
          </w:p>
        </w:tc>
      </w:tr>
      <w:tr w:rsidR="009C027F" w14:paraId="6ADF4246" w14:textId="77777777" w:rsidTr="00F53BE1">
        <w:tc>
          <w:tcPr>
            <w:tcW w:w="3600" w:type="dxa"/>
          </w:tcPr>
          <w:p w14:paraId="5BA8E242" w14:textId="77777777" w:rsidR="009C027F" w:rsidRDefault="009C027F" w:rsidP="00F53BE1">
            <w:pPr>
              <w:pStyle w:val="Table"/>
            </w:pPr>
            <w:r>
              <w:t>Network revenue after the upgrade</w:t>
            </w:r>
          </w:p>
        </w:tc>
        <w:tc>
          <w:tcPr>
            <w:tcW w:w="1800" w:type="dxa"/>
          </w:tcPr>
          <w:p w14:paraId="78FCE094" w14:textId="77777777" w:rsidR="009C027F" w:rsidRDefault="009C027F" w:rsidP="00F53BE1">
            <w:pPr>
              <w:pStyle w:val="Table"/>
              <w:jc w:val="center"/>
            </w:pPr>
            <w:r>
              <w:t>$2.8 million/year</w:t>
            </w:r>
          </w:p>
        </w:tc>
        <w:tc>
          <w:tcPr>
            <w:tcW w:w="1800" w:type="dxa"/>
          </w:tcPr>
          <w:p w14:paraId="18408F78" w14:textId="77777777" w:rsidR="009C027F" w:rsidRDefault="009C027F" w:rsidP="00F53BE1">
            <w:pPr>
              <w:pStyle w:val="Table"/>
              <w:jc w:val="center"/>
            </w:pPr>
            <w:r>
              <w:t>$3.0 million/year</w:t>
            </w:r>
          </w:p>
        </w:tc>
        <w:tc>
          <w:tcPr>
            <w:tcW w:w="1800" w:type="dxa"/>
          </w:tcPr>
          <w:p w14:paraId="7FCCB240" w14:textId="77777777" w:rsidR="009C027F" w:rsidRDefault="009C027F" w:rsidP="00F53BE1">
            <w:pPr>
              <w:pStyle w:val="Table"/>
              <w:jc w:val="center"/>
            </w:pPr>
            <w:r>
              <w:t>$2.4 million/year</w:t>
            </w:r>
          </w:p>
        </w:tc>
      </w:tr>
      <w:tr w:rsidR="009C027F" w14:paraId="5FE79C4E" w14:textId="77777777" w:rsidTr="00F53BE1">
        <w:tc>
          <w:tcPr>
            <w:tcW w:w="3600" w:type="dxa"/>
          </w:tcPr>
          <w:p w14:paraId="11FE6F8B" w14:textId="77777777" w:rsidR="009C027F" w:rsidRDefault="009C027F" w:rsidP="00F53BE1">
            <w:pPr>
              <w:pStyle w:val="Table"/>
            </w:pPr>
            <w:r>
              <w:t>Return on MEAV after the upgrade</w:t>
            </w:r>
          </w:p>
        </w:tc>
        <w:tc>
          <w:tcPr>
            <w:tcW w:w="1800" w:type="dxa"/>
          </w:tcPr>
          <w:p w14:paraId="6909E190" w14:textId="77777777" w:rsidR="009C027F" w:rsidRDefault="009C027F" w:rsidP="00F53BE1">
            <w:pPr>
              <w:pStyle w:val="Table"/>
              <w:jc w:val="center"/>
            </w:pPr>
            <w:r>
              <w:t>4.7%</w:t>
            </w:r>
          </w:p>
        </w:tc>
        <w:tc>
          <w:tcPr>
            <w:tcW w:w="1800" w:type="dxa"/>
          </w:tcPr>
          <w:p w14:paraId="3B1F48C0" w14:textId="77777777" w:rsidR="009C027F" w:rsidRDefault="009C027F" w:rsidP="00F53BE1">
            <w:pPr>
              <w:pStyle w:val="Table"/>
              <w:jc w:val="center"/>
            </w:pPr>
            <w:r>
              <w:t>5.0%</w:t>
            </w:r>
          </w:p>
        </w:tc>
        <w:tc>
          <w:tcPr>
            <w:tcW w:w="1800" w:type="dxa"/>
          </w:tcPr>
          <w:p w14:paraId="3A36B5C2" w14:textId="77777777" w:rsidR="009C027F" w:rsidRDefault="009C027F" w:rsidP="00F53BE1">
            <w:pPr>
              <w:pStyle w:val="Table"/>
              <w:jc w:val="center"/>
            </w:pPr>
            <w:r>
              <w:t>4.0%</w:t>
            </w:r>
          </w:p>
        </w:tc>
      </w:tr>
      <w:tr w:rsidR="009C027F" w:rsidRPr="00013E91" w14:paraId="49AF894A" w14:textId="77777777" w:rsidTr="006F3B53">
        <w:tc>
          <w:tcPr>
            <w:tcW w:w="9000" w:type="dxa"/>
            <w:gridSpan w:val="4"/>
          </w:tcPr>
          <w:p w14:paraId="53644B74" w14:textId="77777777" w:rsidR="009C027F" w:rsidRPr="00013E91" w:rsidRDefault="009C027F" w:rsidP="00013E91">
            <w:pPr>
              <w:pStyle w:val="Table"/>
              <w:rPr>
                <w:i/>
              </w:rPr>
            </w:pPr>
            <w:r>
              <w:rPr>
                <w:i/>
              </w:rPr>
              <w:t xml:space="preserve">Impact of the </w:t>
            </w:r>
            <w:r w:rsidRPr="00013E91">
              <w:rPr>
                <w:i/>
              </w:rPr>
              <w:t>network upgrade</w:t>
            </w:r>
          </w:p>
        </w:tc>
      </w:tr>
      <w:tr w:rsidR="009C027F" w14:paraId="49070EA8" w14:textId="77777777" w:rsidTr="006F3B53">
        <w:tc>
          <w:tcPr>
            <w:tcW w:w="3600" w:type="dxa"/>
          </w:tcPr>
          <w:p w14:paraId="6E32C827" w14:textId="77777777" w:rsidR="009C027F" w:rsidRDefault="009C027F" w:rsidP="006F3B53">
            <w:pPr>
              <w:pStyle w:val="Table"/>
            </w:pPr>
          </w:p>
        </w:tc>
        <w:tc>
          <w:tcPr>
            <w:tcW w:w="1800" w:type="dxa"/>
          </w:tcPr>
          <w:p w14:paraId="2D356C11" w14:textId="5D0CFA58" w:rsidR="009C027F" w:rsidRPr="00F53BE1" w:rsidRDefault="009C027F" w:rsidP="006F3B53">
            <w:pPr>
              <w:pStyle w:val="Table"/>
              <w:jc w:val="center"/>
            </w:pPr>
            <w:r w:rsidRPr="00F53BE1">
              <w:t>ICRP</w:t>
            </w:r>
            <w:r w:rsidRPr="00F53BE1">
              <w:br/>
            </w:r>
            <w:r>
              <w:t>without scaling</w:t>
            </w:r>
          </w:p>
        </w:tc>
        <w:tc>
          <w:tcPr>
            <w:tcW w:w="1800" w:type="dxa"/>
          </w:tcPr>
          <w:p w14:paraId="757F913A" w14:textId="7DECA102" w:rsidR="009C027F" w:rsidRPr="00F53BE1" w:rsidRDefault="009C027F" w:rsidP="006F3B53">
            <w:pPr>
              <w:pStyle w:val="Table"/>
              <w:jc w:val="center"/>
            </w:pPr>
            <w:r w:rsidRPr="00F53BE1">
              <w:t xml:space="preserve">Post-DCP 206 </w:t>
            </w:r>
            <w:r>
              <w:t xml:space="preserve">simplified </w:t>
            </w:r>
            <w:r w:rsidRPr="00F53BE1">
              <w:t>EDCM</w:t>
            </w:r>
          </w:p>
        </w:tc>
        <w:tc>
          <w:tcPr>
            <w:tcW w:w="1800" w:type="dxa"/>
          </w:tcPr>
          <w:p w14:paraId="39F36218" w14:textId="1B198895" w:rsidR="009C027F" w:rsidRPr="00F53BE1" w:rsidRDefault="009C027F" w:rsidP="006F3B53">
            <w:pPr>
              <w:pStyle w:val="Table"/>
              <w:jc w:val="center"/>
            </w:pPr>
            <w:r w:rsidRPr="00F53BE1">
              <w:t xml:space="preserve">Pre-DCP 206 </w:t>
            </w:r>
            <w:r>
              <w:t xml:space="preserve">simplified </w:t>
            </w:r>
            <w:r w:rsidRPr="00F53BE1">
              <w:t>EDCM</w:t>
            </w:r>
          </w:p>
        </w:tc>
      </w:tr>
      <w:tr w:rsidR="009C027F" w14:paraId="697CEAC5" w14:textId="77777777" w:rsidTr="00F53BE1">
        <w:tc>
          <w:tcPr>
            <w:tcW w:w="3600" w:type="dxa"/>
          </w:tcPr>
          <w:p w14:paraId="2ECA1800" w14:textId="77777777" w:rsidR="009C027F" w:rsidRDefault="009C027F" w:rsidP="00013E91">
            <w:pPr>
              <w:pStyle w:val="Table"/>
            </w:pPr>
            <w:r>
              <w:t>Amount invested in network upgrade</w:t>
            </w:r>
          </w:p>
        </w:tc>
        <w:tc>
          <w:tcPr>
            <w:tcW w:w="1800" w:type="dxa"/>
          </w:tcPr>
          <w:p w14:paraId="1A079118" w14:textId="77777777" w:rsidR="009C027F" w:rsidRDefault="009C027F" w:rsidP="00F53BE1">
            <w:pPr>
              <w:pStyle w:val="Table"/>
              <w:jc w:val="center"/>
            </w:pPr>
            <w:r>
              <w:t>$20 million</w:t>
            </w:r>
          </w:p>
        </w:tc>
        <w:tc>
          <w:tcPr>
            <w:tcW w:w="1800" w:type="dxa"/>
          </w:tcPr>
          <w:p w14:paraId="2F55F812" w14:textId="77777777" w:rsidR="009C027F" w:rsidRDefault="009C027F" w:rsidP="00F53BE1">
            <w:pPr>
              <w:pStyle w:val="Table"/>
              <w:jc w:val="center"/>
            </w:pPr>
            <w:r>
              <w:t>$20 million</w:t>
            </w:r>
          </w:p>
        </w:tc>
        <w:tc>
          <w:tcPr>
            <w:tcW w:w="1800" w:type="dxa"/>
          </w:tcPr>
          <w:p w14:paraId="101AA6C7" w14:textId="77777777" w:rsidR="009C027F" w:rsidRDefault="009C027F" w:rsidP="00F53BE1">
            <w:pPr>
              <w:pStyle w:val="Table"/>
              <w:jc w:val="center"/>
            </w:pPr>
            <w:r>
              <w:t>$20 million</w:t>
            </w:r>
          </w:p>
        </w:tc>
      </w:tr>
      <w:tr w:rsidR="009C027F" w14:paraId="78F8EAA8" w14:textId="77777777" w:rsidTr="00013E91">
        <w:tc>
          <w:tcPr>
            <w:tcW w:w="3600" w:type="dxa"/>
          </w:tcPr>
          <w:p w14:paraId="78477688" w14:textId="77777777" w:rsidR="009C027F" w:rsidRDefault="009C027F" w:rsidP="00F53BE1">
            <w:pPr>
              <w:pStyle w:val="Table"/>
            </w:pPr>
            <w:r>
              <w:t>Additional return from upgrade</w:t>
            </w:r>
          </w:p>
        </w:tc>
        <w:tc>
          <w:tcPr>
            <w:tcW w:w="1800" w:type="dxa"/>
          </w:tcPr>
          <w:p w14:paraId="689B3FFB" w14:textId="77777777" w:rsidR="009C027F" w:rsidRDefault="009C027F" w:rsidP="00F53BE1">
            <w:pPr>
              <w:pStyle w:val="Table"/>
              <w:jc w:val="center"/>
            </w:pPr>
            <w:r>
              <w:t>$1.0 million</w:t>
            </w:r>
          </w:p>
        </w:tc>
        <w:tc>
          <w:tcPr>
            <w:tcW w:w="1800" w:type="dxa"/>
          </w:tcPr>
          <w:p w14:paraId="26F274B3" w14:textId="77777777" w:rsidR="009C027F" w:rsidRDefault="009C027F" w:rsidP="00F53BE1">
            <w:pPr>
              <w:pStyle w:val="Table"/>
              <w:jc w:val="center"/>
            </w:pPr>
            <w:r>
              <w:t>$1.0 million</w:t>
            </w:r>
          </w:p>
        </w:tc>
        <w:tc>
          <w:tcPr>
            <w:tcW w:w="1800" w:type="dxa"/>
            <w:shd w:val="clear" w:color="auto" w:fill="F2DBDB" w:themeFill="accent2" w:themeFillTint="33"/>
          </w:tcPr>
          <w:p w14:paraId="3E73BBD0" w14:textId="4729A7A1" w:rsidR="009C027F" w:rsidRDefault="009C027F" w:rsidP="009C027F">
            <w:pPr>
              <w:pStyle w:val="Table"/>
              <w:jc w:val="center"/>
            </w:pPr>
            <w:r>
              <w:t>($1.2 million)</w:t>
            </w:r>
          </w:p>
        </w:tc>
      </w:tr>
      <w:tr w:rsidR="009C027F" w14:paraId="328DC9B2" w14:textId="77777777" w:rsidTr="00013E91">
        <w:tc>
          <w:tcPr>
            <w:tcW w:w="3600" w:type="dxa"/>
          </w:tcPr>
          <w:p w14:paraId="004F35E8" w14:textId="77777777" w:rsidR="009C027F" w:rsidRDefault="009C027F" w:rsidP="00F53BE1">
            <w:pPr>
              <w:pStyle w:val="Table"/>
            </w:pPr>
            <w:r>
              <w:t>Rate of return on upgrade project</w:t>
            </w:r>
          </w:p>
        </w:tc>
        <w:tc>
          <w:tcPr>
            <w:tcW w:w="1800" w:type="dxa"/>
          </w:tcPr>
          <w:p w14:paraId="79D3B6F5" w14:textId="77777777" w:rsidR="009C027F" w:rsidRDefault="009C027F" w:rsidP="00F53BE1">
            <w:pPr>
              <w:pStyle w:val="Table"/>
              <w:jc w:val="center"/>
            </w:pPr>
            <w:r>
              <w:t>5.0%</w:t>
            </w:r>
          </w:p>
        </w:tc>
        <w:tc>
          <w:tcPr>
            <w:tcW w:w="1800" w:type="dxa"/>
          </w:tcPr>
          <w:p w14:paraId="4A1EBF41" w14:textId="77777777" w:rsidR="009C027F" w:rsidRDefault="009C027F" w:rsidP="00F53BE1">
            <w:pPr>
              <w:pStyle w:val="Table"/>
              <w:jc w:val="center"/>
            </w:pPr>
            <w:r>
              <w:t>5.0%</w:t>
            </w:r>
          </w:p>
        </w:tc>
        <w:tc>
          <w:tcPr>
            <w:tcW w:w="1800" w:type="dxa"/>
            <w:shd w:val="clear" w:color="auto" w:fill="F2DBDB" w:themeFill="accent2" w:themeFillTint="33"/>
          </w:tcPr>
          <w:p w14:paraId="189BF835" w14:textId="77777777" w:rsidR="009C027F" w:rsidRDefault="009C027F" w:rsidP="00F53BE1">
            <w:pPr>
              <w:pStyle w:val="Table"/>
              <w:jc w:val="center"/>
            </w:pPr>
            <w:r>
              <w:t>Minus 6.0%</w:t>
            </w:r>
          </w:p>
        </w:tc>
      </w:tr>
      <w:tr w:rsidR="009C027F" w14:paraId="706238F0" w14:textId="77777777" w:rsidTr="00013E91">
        <w:tc>
          <w:tcPr>
            <w:tcW w:w="3600" w:type="dxa"/>
          </w:tcPr>
          <w:p w14:paraId="047F6D3C" w14:textId="1958481B" w:rsidR="009C027F" w:rsidRDefault="009C027F" w:rsidP="00013E91">
            <w:pPr>
              <w:pStyle w:val="Table"/>
            </w:pPr>
            <w:r>
              <w:t>Impact of the upgrade on charges for existing customers</w:t>
            </w:r>
          </w:p>
        </w:tc>
        <w:tc>
          <w:tcPr>
            <w:tcW w:w="1800" w:type="dxa"/>
          </w:tcPr>
          <w:p w14:paraId="278E59C9" w14:textId="77777777" w:rsidR="009C027F" w:rsidRDefault="009C027F" w:rsidP="00F53BE1">
            <w:pPr>
              <w:pStyle w:val="Table"/>
              <w:jc w:val="center"/>
            </w:pPr>
            <w:r>
              <w:t>No change</w:t>
            </w:r>
          </w:p>
        </w:tc>
        <w:tc>
          <w:tcPr>
            <w:tcW w:w="1800" w:type="dxa"/>
          </w:tcPr>
          <w:p w14:paraId="1B173655" w14:textId="77777777" w:rsidR="009C027F" w:rsidRDefault="009C027F" w:rsidP="00F53BE1">
            <w:pPr>
              <w:pStyle w:val="Table"/>
              <w:jc w:val="center"/>
            </w:pPr>
            <w:r>
              <w:t>4% reduction</w:t>
            </w:r>
          </w:p>
        </w:tc>
        <w:tc>
          <w:tcPr>
            <w:tcW w:w="1800" w:type="dxa"/>
            <w:shd w:val="clear" w:color="auto" w:fill="F2DBDB" w:themeFill="accent2" w:themeFillTint="33"/>
          </w:tcPr>
          <w:p w14:paraId="648C2B33" w14:textId="77777777" w:rsidR="009C027F" w:rsidRDefault="009C027F" w:rsidP="00F53BE1">
            <w:pPr>
              <w:pStyle w:val="Table"/>
              <w:jc w:val="center"/>
            </w:pPr>
            <w:r>
              <w:t>57% reduction</w:t>
            </w:r>
          </w:p>
        </w:tc>
      </w:tr>
      <w:tr w:rsidR="009C027F" w:rsidRPr="00013E91" w14:paraId="46E63998" w14:textId="77777777" w:rsidTr="006F3B53">
        <w:tc>
          <w:tcPr>
            <w:tcW w:w="9000" w:type="dxa"/>
            <w:gridSpan w:val="4"/>
          </w:tcPr>
          <w:p w14:paraId="032F413B" w14:textId="77777777" w:rsidR="009C027F" w:rsidRPr="00013E91" w:rsidRDefault="009C027F" w:rsidP="00013E91">
            <w:pPr>
              <w:pStyle w:val="Table"/>
              <w:rPr>
                <w:i/>
              </w:rPr>
            </w:pPr>
            <w:r>
              <w:rPr>
                <w:i/>
              </w:rPr>
              <w:t>Verdict</w:t>
            </w:r>
          </w:p>
        </w:tc>
      </w:tr>
      <w:tr w:rsidR="009C027F" w14:paraId="01E5DFE3" w14:textId="77777777" w:rsidTr="006F3B53">
        <w:tc>
          <w:tcPr>
            <w:tcW w:w="3600" w:type="dxa"/>
          </w:tcPr>
          <w:p w14:paraId="093C48CD" w14:textId="77777777" w:rsidR="009C027F" w:rsidRDefault="009C027F" w:rsidP="006F3B53">
            <w:pPr>
              <w:pStyle w:val="Table"/>
            </w:pPr>
          </w:p>
        </w:tc>
        <w:tc>
          <w:tcPr>
            <w:tcW w:w="1800" w:type="dxa"/>
          </w:tcPr>
          <w:p w14:paraId="68C19D03" w14:textId="77777777" w:rsidR="009C027F" w:rsidRPr="00F53BE1" w:rsidRDefault="009C027F" w:rsidP="006F3B53">
            <w:pPr>
              <w:pStyle w:val="Table"/>
              <w:jc w:val="center"/>
            </w:pPr>
            <w:r w:rsidRPr="00F53BE1">
              <w:t>ICRP</w:t>
            </w:r>
            <w:r w:rsidRPr="00F53BE1">
              <w:br/>
            </w:r>
            <w:r>
              <w:t>without scaling</w:t>
            </w:r>
          </w:p>
        </w:tc>
        <w:tc>
          <w:tcPr>
            <w:tcW w:w="1800" w:type="dxa"/>
          </w:tcPr>
          <w:p w14:paraId="66B1734C" w14:textId="77777777" w:rsidR="009C027F" w:rsidRPr="00F53BE1" w:rsidRDefault="009C027F" w:rsidP="006F3B53">
            <w:pPr>
              <w:pStyle w:val="Table"/>
              <w:jc w:val="center"/>
            </w:pPr>
            <w:r w:rsidRPr="00F53BE1">
              <w:t>Post-DCP 206 EDCM</w:t>
            </w:r>
          </w:p>
        </w:tc>
        <w:tc>
          <w:tcPr>
            <w:tcW w:w="1800" w:type="dxa"/>
          </w:tcPr>
          <w:p w14:paraId="40A12A70" w14:textId="77777777" w:rsidR="009C027F" w:rsidRPr="00F53BE1" w:rsidRDefault="009C027F" w:rsidP="006F3B53">
            <w:pPr>
              <w:pStyle w:val="Table"/>
              <w:jc w:val="center"/>
            </w:pPr>
            <w:r w:rsidRPr="00F53BE1">
              <w:t>Pre-DCP 206 EDCM</w:t>
            </w:r>
          </w:p>
        </w:tc>
      </w:tr>
      <w:tr w:rsidR="009C027F" w14:paraId="43755217" w14:textId="77777777" w:rsidTr="00013E91">
        <w:tc>
          <w:tcPr>
            <w:tcW w:w="3600" w:type="dxa"/>
          </w:tcPr>
          <w:p w14:paraId="6ACAA8BB" w14:textId="77777777" w:rsidR="009C027F" w:rsidRDefault="009C027F" w:rsidP="00013E91">
            <w:pPr>
              <w:pStyle w:val="Table"/>
            </w:pPr>
            <w:r>
              <w:t>Overall impression</w:t>
            </w:r>
          </w:p>
        </w:tc>
        <w:tc>
          <w:tcPr>
            <w:tcW w:w="1800" w:type="dxa"/>
          </w:tcPr>
          <w:p w14:paraId="7BB800A6" w14:textId="77777777" w:rsidR="009C027F" w:rsidRDefault="009C027F" w:rsidP="00F53BE1">
            <w:pPr>
              <w:pStyle w:val="Table"/>
              <w:jc w:val="center"/>
            </w:pPr>
            <w:r>
              <w:t>Sane</w:t>
            </w:r>
          </w:p>
        </w:tc>
        <w:tc>
          <w:tcPr>
            <w:tcW w:w="1800" w:type="dxa"/>
          </w:tcPr>
          <w:p w14:paraId="5CFDD4AB" w14:textId="77777777" w:rsidR="009C027F" w:rsidRDefault="009C027F" w:rsidP="00F53BE1">
            <w:pPr>
              <w:pStyle w:val="Table"/>
              <w:jc w:val="center"/>
            </w:pPr>
            <w:r>
              <w:t>Sane</w:t>
            </w:r>
          </w:p>
        </w:tc>
        <w:tc>
          <w:tcPr>
            <w:tcW w:w="1800" w:type="dxa"/>
            <w:shd w:val="clear" w:color="auto" w:fill="F2DBDB" w:themeFill="accent2" w:themeFillTint="33"/>
          </w:tcPr>
          <w:p w14:paraId="10D48169" w14:textId="77777777" w:rsidR="009C027F" w:rsidRDefault="009C027F" w:rsidP="00F53BE1">
            <w:pPr>
              <w:pStyle w:val="Table"/>
              <w:jc w:val="center"/>
            </w:pPr>
            <w:r>
              <w:t>Not sane</w:t>
            </w:r>
          </w:p>
        </w:tc>
      </w:tr>
    </w:tbl>
    <w:p w14:paraId="06DB17FF" w14:textId="77777777" w:rsidR="00F53BE1" w:rsidRDefault="00F53BE1" w:rsidP="00F53BE1">
      <w:pPr>
        <w:pStyle w:val="TableLastNote"/>
      </w:pPr>
    </w:p>
    <w:sectPr w:rsidR="00F53BE1" w:rsidSect="001A6C31">
      <w:footerReference w:type="default" r:id="rId8"/>
      <w:pgSz w:w="11900" w:h="16840"/>
      <w:pgMar w:top="1800" w:right="1440" w:bottom="1440" w:left="1440" w:header="1080"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E7F0D" w14:textId="77777777" w:rsidR="00F53BE1" w:rsidRDefault="00F53BE1" w:rsidP="001A6C31">
      <w:pPr>
        <w:spacing w:after="0"/>
      </w:pPr>
      <w:r>
        <w:separator/>
      </w:r>
    </w:p>
  </w:endnote>
  <w:endnote w:type="continuationSeparator" w:id="0">
    <w:p w14:paraId="2A3AA3AA" w14:textId="77777777" w:rsidR="00F53BE1" w:rsidRDefault="00F53BE1" w:rsidP="001A6C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ÇlÇr ÉSÉVÉbÉN"/>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70680" w14:textId="77777777" w:rsidR="00F53BE1" w:rsidRDefault="00F53BE1">
    <w:pPr>
      <w:pStyle w:val="Footer"/>
    </w:pPr>
    <w:r w:rsidRPr="008021FC">
      <w:tab/>
    </w:r>
    <w:r>
      <w:fldChar w:fldCharType="begin"/>
    </w:r>
    <w:r>
      <w:instrText xml:space="preserve"> PAGE  \* MERGEFORMAT </w:instrText>
    </w:r>
    <w:r>
      <w:fldChar w:fldCharType="separate"/>
    </w:r>
    <w:r w:rsidR="002F4031">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44ABC" w14:textId="77777777" w:rsidR="00F53BE1" w:rsidRDefault="00F53BE1" w:rsidP="001A6C31">
      <w:pPr>
        <w:spacing w:after="0"/>
      </w:pPr>
      <w:r>
        <w:separator/>
      </w:r>
    </w:p>
  </w:footnote>
  <w:footnote w:type="continuationSeparator" w:id="0">
    <w:p w14:paraId="14293F72" w14:textId="77777777" w:rsidR="00F53BE1" w:rsidRDefault="00F53BE1" w:rsidP="001A6C3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2">
    <w:nsid w:val="1FB87DBC"/>
    <w:multiLevelType w:val="multilevel"/>
    <w:tmpl w:val="3C283E6E"/>
    <w:lvl w:ilvl="0">
      <w:start w:val="1"/>
      <w:numFmt w:val="none"/>
      <w:suff w:val="nothing"/>
      <w:lvlText w:val=""/>
      <w:lvlJc w:val="left"/>
      <w:rPr>
        <w:rFonts w:hint="default"/>
      </w:rPr>
    </w:lvl>
    <w:lvl w:ilvl="1">
      <w:start w:val="1"/>
      <w:numFmt w:val="decimal"/>
      <w:lvlRestart w:val="0"/>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lowerRoman"/>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0"/>
  </w:num>
  <w:num w:numId="3">
    <w:abstractNumId w:val="2"/>
  </w:num>
  <w:num w:numId="4">
    <w:abstractNumId w:val="1"/>
  </w:num>
  <w:num w:numId="5">
    <w:abstractNumId w:val="2"/>
  </w:num>
  <w:num w:numId="6">
    <w:abstractNumId w:val="0"/>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1F2B9E"/>
    <w:rsid w:val="00013E91"/>
    <w:rsid w:val="000D29F9"/>
    <w:rsid w:val="001A6C31"/>
    <w:rsid w:val="001F2B9E"/>
    <w:rsid w:val="002F4031"/>
    <w:rsid w:val="0031081D"/>
    <w:rsid w:val="004F03A7"/>
    <w:rsid w:val="00586460"/>
    <w:rsid w:val="006D5C21"/>
    <w:rsid w:val="006E33E4"/>
    <w:rsid w:val="00747B12"/>
    <w:rsid w:val="007A796F"/>
    <w:rsid w:val="008620BE"/>
    <w:rsid w:val="009C027F"/>
    <w:rsid w:val="009F1DB7"/>
    <w:rsid w:val="00A51862"/>
    <w:rsid w:val="00C67849"/>
    <w:rsid w:val="00C761DE"/>
    <w:rsid w:val="00D844C1"/>
    <w:rsid w:val="00F53BE1"/>
    <w:rsid w:val="00F85A5C"/>
    <w:rsid w:val="00FD6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585B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Projects:Templates: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T2.dotx</Template>
  <TotalTime>93</TotalTime>
  <Pages>2</Pages>
  <Words>749</Words>
  <Characters>4271</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8</cp:revision>
  <dcterms:created xsi:type="dcterms:W3CDTF">2014-07-24T12:27:00Z</dcterms:created>
  <dcterms:modified xsi:type="dcterms:W3CDTF">2014-07-25T13:06:00Z</dcterms:modified>
  <cp:category/>
</cp:coreProperties>
</file>