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267D0" w14:textId="36BFF252" w:rsidR="00F85A5C" w:rsidRDefault="00BD3BB7" w:rsidP="00F85A5C">
      <w:pPr>
        <w:pStyle w:val="Heading1"/>
        <w:numPr>
          <w:ilvl w:val="0"/>
          <w:numId w:val="3"/>
        </w:numPr>
      </w:pPr>
      <w:r>
        <w:t xml:space="preserve">Initial submission to </w:t>
      </w:r>
      <w:r w:rsidR="00070F11">
        <w:t xml:space="preserve">the </w:t>
      </w:r>
      <w:r w:rsidR="00EC09B8">
        <w:t>DCMF MIG’s EDCM R</w:t>
      </w:r>
      <w:r w:rsidR="00070F11">
        <w:t>eview</w:t>
      </w:r>
    </w:p>
    <w:p w14:paraId="598591BE" w14:textId="3FD26136" w:rsidR="004F4085" w:rsidRDefault="00F85A5C" w:rsidP="00F85A5C">
      <w:pPr>
        <w:pStyle w:val="Byline"/>
      </w:pPr>
      <w:r w:rsidRPr="00AB6F30">
        <w:rPr>
          <w:color w:val="808080"/>
        </w:rPr>
        <w:t>by</w:t>
      </w:r>
      <w:r w:rsidRPr="00AB6F30">
        <w:t xml:space="preserve"> </w:t>
      </w:r>
      <w:r w:rsidR="00620AA0" w:rsidRPr="00F85A5C">
        <w:t>Franck Latrémolière</w:t>
      </w:r>
      <w:bookmarkStart w:id="0" w:name="_GoBack"/>
      <w:bookmarkEnd w:id="0"/>
      <w:r w:rsidRPr="00AB6F30">
        <w:t xml:space="preserve"> </w:t>
      </w:r>
      <w:r w:rsidRPr="00AB6F30">
        <w:rPr>
          <w:color w:val="808080"/>
        </w:rPr>
        <w:t>on</w:t>
      </w:r>
      <w:r w:rsidRPr="00AB6F30">
        <w:t xml:space="preserve"> </w:t>
      </w:r>
      <w:r w:rsidR="00620AA0">
        <w:rPr>
          <w:noProof/>
        </w:rPr>
        <w:t>Tuesday 22 July 2014</w:t>
      </w:r>
    </w:p>
    <w:p w14:paraId="52020A96" w14:textId="0B3322D1" w:rsidR="00EC09B8" w:rsidRDefault="00EC09B8" w:rsidP="00EC09B8">
      <w:pPr>
        <w:pStyle w:val="Text"/>
      </w:pPr>
      <w:r>
        <w:t>This paper is my initial submission to the DCMF MIG’s EDCM Review</w:t>
      </w:r>
      <w:r w:rsidR="00D46632">
        <w:t xml:space="preserve">.  </w:t>
      </w:r>
      <w:r>
        <w:t>Its structure follows the points raised at paragraph 7 of the terms of reference for the review.</w:t>
      </w:r>
    </w:p>
    <w:p w14:paraId="5E7909BC" w14:textId="125B6717" w:rsidR="00EC09B8" w:rsidRDefault="00EC09B8" w:rsidP="00EC09B8">
      <w:pPr>
        <w:pStyle w:val="Heading2"/>
      </w:pPr>
      <w:r>
        <w:t xml:space="preserve">a) What feedback and data can be collected on the response of customers to connection and </w:t>
      </w:r>
      <w:proofErr w:type="spellStart"/>
      <w:r>
        <w:t>DUoS</w:t>
      </w:r>
      <w:proofErr w:type="spellEnd"/>
      <w:r>
        <w:t xml:space="preserve"> charges? Who should do this work?</w:t>
      </w:r>
      <w:r>
        <w:rPr>
          <w:rStyle w:val="FootnoteReference"/>
        </w:rPr>
        <w:footnoteReference w:id="1"/>
      </w:r>
    </w:p>
    <w:p w14:paraId="4951BDE2" w14:textId="77777777" w:rsidR="00EE35C6" w:rsidRDefault="00EC09B8" w:rsidP="00EC09B8">
      <w:pPr>
        <w:pStyle w:val="Text"/>
      </w:pPr>
      <w:r>
        <w:t>Collecting feedback and data is essential to permit a reasonable debate and informed decisions about charging methodologies in the future</w:t>
      </w:r>
      <w:r w:rsidR="00EE35C6">
        <w:t>.</w:t>
      </w:r>
    </w:p>
    <w:p w14:paraId="7CEDB8BD" w14:textId="1E7CD21F" w:rsidR="00EC09B8" w:rsidRDefault="00A3030B" w:rsidP="00EC09B8">
      <w:pPr>
        <w:pStyle w:val="Text"/>
      </w:pPr>
      <w:r>
        <w:t>T</w:t>
      </w:r>
      <w:r w:rsidR="00EC09B8">
        <w:t xml:space="preserve">he DNOs and Ofgem are, in </w:t>
      </w:r>
      <w:r w:rsidR="004A3EEB">
        <w:t>a way</w:t>
      </w:r>
      <w:r w:rsidR="00EC09B8">
        <w:t>, conducting an experiment on the British economy</w:t>
      </w:r>
      <w:r w:rsidR="004A3EEB">
        <w:t>.  I</w:t>
      </w:r>
      <w:r w:rsidR="00EC09B8">
        <w:t xml:space="preserve">t would be wrong for that experiment to be </w:t>
      </w:r>
      <w:r w:rsidR="004A3EEB">
        <w:t xml:space="preserve">run </w:t>
      </w:r>
      <w:r w:rsidR="00EC09B8">
        <w:t>without arrangements in place to collect the data that will allow lessons to be learned from it.</w:t>
      </w:r>
    </w:p>
    <w:p w14:paraId="0EC20A49" w14:textId="44E80504" w:rsidR="00E930B8" w:rsidRDefault="004F4085" w:rsidP="00EC09B8">
      <w:pPr>
        <w:pStyle w:val="Text"/>
      </w:pPr>
      <w:r>
        <w:t>To des</w:t>
      </w:r>
      <w:r w:rsidR="005F34FF">
        <w:t>ign the information required</w:t>
      </w:r>
      <w:r w:rsidR="00E930B8">
        <w:t xml:space="preserve"> for </w:t>
      </w:r>
      <w:r w:rsidR="005F34FF">
        <w:t xml:space="preserve">an </w:t>
      </w:r>
      <w:r w:rsidR="00E930B8">
        <w:t>ex post evaluation</w:t>
      </w:r>
      <w:r>
        <w:t xml:space="preserve">, </w:t>
      </w:r>
      <w:r w:rsidR="005F34FF">
        <w:t xml:space="preserve">we need </w:t>
      </w:r>
      <w:r>
        <w:t>a clear-headed statement of the objectives that the chargi</w:t>
      </w:r>
      <w:r w:rsidR="00E930B8">
        <w:t>ng methodologies are pursuing.</w:t>
      </w:r>
    </w:p>
    <w:p w14:paraId="5554E472" w14:textId="1F7866CB" w:rsidR="00A3030B" w:rsidRDefault="005F34FF" w:rsidP="00EC09B8">
      <w:pPr>
        <w:pStyle w:val="Text"/>
      </w:pPr>
      <w:r>
        <w:t>Here are three examples of possible</w:t>
      </w:r>
      <w:r w:rsidR="00A3030B">
        <w:t xml:space="preserve"> (albeit not necessarily legitimate) </w:t>
      </w:r>
      <w:r>
        <w:t>objectives</w:t>
      </w:r>
      <w:r w:rsidR="00A3030B">
        <w:t xml:space="preserve"> for the methodologies, and their implied information needs:</w:t>
      </w:r>
    </w:p>
    <w:p w14:paraId="557FEE04" w14:textId="77777777" w:rsidR="005F34FF" w:rsidRDefault="005F34FF" w:rsidP="005F34FF">
      <w:pPr>
        <w:pStyle w:val="Text"/>
        <w:numPr>
          <w:ilvl w:val="2"/>
          <w:numId w:val="10"/>
        </w:numPr>
      </w:pPr>
      <w:r>
        <w:t>If methodologies are trying to ensure that each customer pays a reasonable contribution towards investment that is immediately necessary to meet that customer’s needs, plus a reasonable return on past investment used to provide services to that customer, then useful information could take the form of a list of distribution assets and costs and a mapping of those to categories of charges and contributions, with numbers throughout, showing up any gaps and any instances of over- or double-charging.</w:t>
      </w:r>
    </w:p>
    <w:p w14:paraId="16F2145E" w14:textId="1F9A83A6" w:rsidR="005F34FF" w:rsidRDefault="005F34FF" w:rsidP="00E930B8">
      <w:pPr>
        <w:pStyle w:val="Text"/>
        <w:numPr>
          <w:ilvl w:val="2"/>
          <w:numId w:val="10"/>
        </w:numPr>
      </w:pPr>
      <w:r>
        <w:t>If methodologies are trying to ensure that customers do not increase their consumption at certain times/locations, or reduce their consumption at certain times or locations, with a view to reducing investment by the network operator, then the information to be compiled could focus on cases where this has not occurred, i.e. identifying in each case where an investment was made whether making that investment was consistent with the objectives of the methodologies.</w:t>
      </w:r>
    </w:p>
    <w:p w14:paraId="12602202" w14:textId="67C31EB7" w:rsidR="005F34FF" w:rsidRDefault="00E930B8" w:rsidP="00E930B8">
      <w:pPr>
        <w:pStyle w:val="Text"/>
        <w:numPr>
          <w:ilvl w:val="2"/>
          <w:numId w:val="10"/>
        </w:numPr>
      </w:pPr>
      <w:r>
        <w:t xml:space="preserve">If methodologies are trying to avoid </w:t>
      </w:r>
      <w:r w:rsidRPr="00E930B8">
        <w:t>any unnecessary barrier to investment in electricity distribution networks</w:t>
      </w:r>
      <w:r>
        <w:t xml:space="preserve">, then </w:t>
      </w:r>
      <w:r w:rsidR="005F34FF">
        <w:t>the information to be compiled could focus on such potential barriers: for example, cases where enquiries for new or upgraded connections (demand and generation) were abandoned after the customer received information from the distributor about likely charges, or cases where a customer chose to pay exceeded capacity charges over an extended period rather than commission a network upgrade from the distributor.</w:t>
      </w:r>
    </w:p>
    <w:p w14:paraId="1E23EE31" w14:textId="7F60C054" w:rsidR="00A3030B" w:rsidRDefault="004A3EEB" w:rsidP="00EC09B8">
      <w:pPr>
        <w:pStyle w:val="Text"/>
      </w:pPr>
      <w:r>
        <w:t>The illustrative</w:t>
      </w:r>
      <w:r w:rsidR="00A3030B">
        <w:t xml:space="preserve"> examples </w:t>
      </w:r>
      <w:r>
        <w:t xml:space="preserve">above </w:t>
      </w:r>
      <w:r w:rsidR="00A3030B">
        <w:t>show how different objectives lead to different information requirements.</w:t>
      </w:r>
    </w:p>
    <w:p w14:paraId="0A9299C2" w14:textId="369366DB" w:rsidR="00E930B8" w:rsidRDefault="00EC09B8" w:rsidP="00EC09B8">
      <w:pPr>
        <w:pStyle w:val="Text"/>
      </w:pPr>
      <w:r>
        <w:lastRenderedPageBreak/>
        <w:t>Ofgem</w:t>
      </w:r>
      <w:r w:rsidR="00E930B8">
        <w:t xml:space="preserve"> is </w:t>
      </w:r>
      <w:r>
        <w:t>the regulator</w:t>
      </w:r>
      <w:r w:rsidR="004F4085">
        <w:t xml:space="preserve"> and the person responsible for strategic direction over the methodologies</w:t>
      </w:r>
      <w:r w:rsidR="00E930B8">
        <w:t xml:space="preserve">.  It </w:t>
      </w:r>
      <w:r w:rsidR="00A3030B">
        <w:t>is Ofgem’s role to clarify</w:t>
      </w:r>
      <w:r w:rsidR="00E930B8">
        <w:t xml:space="preserve"> its objectives</w:t>
      </w:r>
      <w:r w:rsidR="00D4760A">
        <w:t>, to design the information requirements, to bring together information from multiple sources (not just DNOs),</w:t>
      </w:r>
      <w:r w:rsidR="00E930B8">
        <w:t xml:space="preserve"> and </w:t>
      </w:r>
      <w:r w:rsidR="00A3030B">
        <w:t xml:space="preserve">to lead the </w:t>
      </w:r>
      <w:r w:rsidR="00E930B8">
        <w:t>ex post evaluation</w:t>
      </w:r>
      <w:r>
        <w:t xml:space="preserve"> work</w:t>
      </w:r>
      <w:r w:rsidR="00E930B8">
        <w:t>.</w:t>
      </w:r>
    </w:p>
    <w:p w14:paraId="24F6D27D" w14:textId="16B4E1D7" w:rsidR="00EC09B8" w:rsidRDefault="00092C34" w:rsidP="00EC09B8">
      <w:pPr>
        <w:pStyle w:val="Text"/>
      </w:pPr>
      <w:r>
        <w:t>I</w:t>
      </w:r>
      <w:r w:rsidR="00EC09B8">
        <w:t>f Ofgem proves unwilling or unable</w:t>
      </w:r>
      <w:r w:rsidR="004F4085">
        <w:t xml:space="preserve"> to do </w:t>
      </w:r>
      <w:r w:rsidR="00E930B8">
        <w:t xml:space="preserve">this work </w:t>
      </w:r>
      <w:r w:rsidR="004F4085">
        <w:t>well</w:t>
      </w:r>
      <w:r w:rsidR="00EC09B8">
        <w:t>, then DNOs must step in</w:t>
      </w:r>
      <w:r w:rsidR="00D46632">
        <w:t xml:space="preserve">.  </w:t>
      </w:r>
      <w:r w:rsidR="00D4760A">
        <w:t xml:space="preserve">If regulation does not deliver ex post evaluation, it becomes </w:t>
      </w:r>
      <w:r>
        <w:t xml:space="preserve">DNOs’ </w:t>
      </w:r>
      <w:r w:rsidR="00EC09B8">
        <w:t>duty</w:t>
      </w:r>
      <w:r>
        <w:t>,</w:t>
      </w:r>
      <w:r w:rsidRPr="00092C34">
        <w:t xml:space="preserve"> </w:t>
      </w:r>
      <w:r>
        <w:t>as quasi-monopolists and as owners of the charging methodologies,</w:t>
      </w:r>
      <w:r w:rsidR="00EC09B8">
        <w:t xml:space="preserve"> to ensure that the industry and the public have access to the information they need to reach informed opinions about the future of charging methodologies</w:t>
      </w:r>
      <w:r w:rsidR="00D46632">
        <w:t xml:space="preserve">.  </w:t>
      </w:r>
    </w:p>
    <w:p w14:paraId="0DCB223E" w14:textId="59943D13" w:rsidR="00EC09B8" w:rsidRDefault="00EC09B8" w:rsidP="00EC09B8">
      <w:pPr>
        <w:pStyle w:val="Heading2"/>
      </w:pPr>
      <w:r>
        <w:t>b) Should the DCMF MIG develop piecemeal changes to the EDCM to address individual issues? If not, and if the Sub Group thinks that a long term single solution should be developed, when, how and by whom should this work be done?</w:t>
      </w:r>
    </w:p>
    <w:p w14:paraId="60F102B0" w14:textId="1A7A25CD" w:rsidR="00EC09B8" w:rsidRDefault="00EC09B8" w:rsidP="00EC09B8">
      <w:pPr>
        <w:pStyle w:val="Text"/>
      </w:pPr>
      <w:r>
        <w:t>Piecemeal changes should be developed under DCUSA governance, for the following reasons:</w:t>
      </w:r>
    </w:p>
    <w:p w14:paraId="074C293E" w14:textId="7DDD6F5C" w:rsidR="00EC09B8" w:rsidRDefault="00EC09B8" w:rsidP="00EC09B8">
      <w:pPr>
        <w:pStyle w:val="ListBullet"/>
      </w:pPr>
      <w:r>
        <w:t xml:space="preserve">The governance regime developed by the industry and enforced by Ofgem requires piecemeal changes </w:t>
      </w:r>
      <w:r w:rsidR="00A3030B">
        <w:t>which have</w:t>
      </w:r>
      <w:r>
        <w:t xml:space="preserve"> a well-defined intent </w:t>
      </w:r>
      <w:r w:rsidR="00A3030B">
        <w:t xml:space="preserve">and </w:t>
      </w:r>
      <w:r>
        <w:t>which have to be analysed in isolation from other potential changes</w:t>
      </w:r>
      <w:r w:rsidR="00D46632">
        <w:t xml:space="preserve">.  </w:t>
      </w:r>
      <w:r>
        <w:t>Absent a significant code review decision, developing anything other than piecemeal changes would amount to an undue circumvention of the governance arrangements.</w:t>
      </w:r>
    </w:p>
    <w:p w14:paraId="1BC27B38" w14:textId="6DE0A1A9" w:rsidR="00EC09B8" w:rsidRDefault="00EC09B8" w:rsidP="00EC09B8">
      <w:pPr>
        <w:pStyle w:val="ListBullet"/>
      </w:pPr>
      <w:r>
        <w:t>The EDCM has been developed fairly recently as a long-term single solution, by a DNO-led group taking a holistic approach unconstrained by a piecemeal change control regime</w:t>
      </w:r>
      <w:r w:rsidR="00D46632">
        <w:t xml:space="preserve">.  </w:t>
      </w:r>
      <w:r>
        <w:t xml:space="preserve">If the outcome of that process </w:t>
      </w:r>
      <w:r w:rsidR="00A3030B">
        <w:t>has turned out to be defective,</w:t>
      </w:r>
      <w:r>
        <w:t xml:space="preserve"> then it </w:t>
      </w:r>
      <w:r w:rsidR="00A3030B">
        <w:t xml:space="preserve">seems </w:t>
      </w:r>
      <w:r>
        <w:t>unwise to try and fix it through a very similar DNO-led single-holistic-solution process</w:t>
      </w:r>
      <w:r w:rsidR="00D46632">
        <w:t xml:space="preserve">.  </w:t>
      </w:r>
      <w:r>
        <w:t>Instead it is time to give other governance arrangements the chance to put the</w:t>
      </w:r>
      <w:r w:rsidR="00A3030B">
        <w:t>se</w:t>
      </w:r>
      <w:r>
        <w:t xml:space="preserve"> problems right.</w:t>
      </w:r>
    </w:p>
    <w:p w14:paraId="6CE12895" w14:textId="57D92832" w:rsidR="00EC09B8" w:rsidRDefault="00EC09B8" w:rsidP="00EC09B8">
      <w:pPr>
        <w:pStyle w:val="ListBullet"/>
      </w:pPr>
      <w:r>
        <w:t>The piecemeal DCUSA governance process provides for formal public decisions by Ofgem (and formal opinions by DCUSA parties through consultation and voting) on key principles of the methodology</w:t>
      </w:r>
      <w:r w:rsidR="00D46632">
        <w:t xml:space="preserve">.  </w:t>
      </w:r>
      <w:r>
        <w:t xml:space="preserve">The ability to put Ofgem on the spot through a focused change proposal may </w:t>
      </w:r>
      <w:r w:rsidR="003122E7">
        <w:t xml:space="preserve">lead to </w:t>
      </w:r>
      <w:r>
        <w:t>better decisions</w:t>
      </w:r>
      <w:r w:rsidR="003122E7">
        <w:t xml:space="preserve">; if not, at least it </w:t>
      </w:r>
      <w:r>
        <w:t>ensure</w:t>
      </w:r>
      <w:r w:rsidR="003122E7">
        <w:t>s</w:t>
      </w:r>
      <w:r>
        <w:t xml:space="preserve"> that victims can see where responsibilities lie</w:t>
      </w:r>
      <w:r w:rsidR="00D46632">
        <w:t xml:space="preserve">.  </w:t>
      </w:r>
      <w:r>
        <w:t>The alternative of a single holistic process suffers from the same defect as sofa government: decisions arise from non-transparent informal processes</w:t>
      </w:r>
      <w:r w:rsidR="003122E7">
        <w:t>, and there is no accountability</w:t>
      </w:r>
      <w:r>
        <w:t xml:space="preserve"> and no possibly of sanctions against sloppy reasoning.</w:t>
      </w:r>
    </w:p>
    <w:p w14:paraId="226991B4" w14:textId="40E7F416" w:rsidR="00A3030B" w:rsidRDefault="00A3030B" w:rsidP="005F34FF">
      <w:pPr>
        <w:pStyle w:val="Text"/>
      </w:pPr>
      <w:r>
        <w:t xml:space="preserve">I </w:t>
      </w:r>
      <w:r w:rsidR="00D4760A">
        <w:t xml:space="preserve">am not a great fan of </w:t>
      </w:r>
      <w:r>
        <w:t>the current DCUSA governance arrangements</w:t>
      </w:r>
      <w:r w:rsidR="00D4760A">
        <w:t xml:space="preserve"> for charging methodologies</w:t>
      </w:r>
      <w:r>
        <w:t>.  But</w:t>
      </w:r>
      <w:r w:rsidR="003122E7">
        <w:t>,</w:t>
      </w:r>
      <w:r>
        <w:t xml:space="preserve"> </w:t>
      </w:r>
      <w:r w:rsidR="00D4760A">
        <w:t xml:space="preserve">given </w:t>
      </w:r>
      <w:r>
        <w:t xml:space="preserve">the situation </w:t>
      </w:r>
      <w:r w:rsidR="00D4760A">
        <w:t xml:space="preserve">in which </w:t>
      </w:r>
      <w:r>
        <w:t>we find ourselves, I think</w:t>
      </w:r>
      <w:r w:rsidR="00D4760A">
        <w:t xml:space="preserve"> that DCUSA governance</w:t>
      </w:r>
      <w:r>
        <w:t xml:space="preserve"> offer</w:t>
      </w:r>
      <w:r w:rsidR="00D4760A">
        <w:t>s</w:t>
      </w:r>
      <w:r>
        <w:t xml:space="preserve"> a better prospect of progress than an attempt at developing a </w:t>
      </w:r>
      <w:proofErr w:type="gramStart"/>
      <w:r>
        <w:t>long term</w:t>
      </w:r>
      <w:proofErr w:type="gramEnd"/>
      <w:r>
        <w:t xml:space="preserve"> single solution.</w:t>
      </w:r>
    </w:p>
    <w:p w14:paraId="357A5D89" w14:textId="64F5151E" w:rsidR="005F34FF" w:rsidRDefault="005F34FF" w:rsidP="005F34FF">
      <w:pPr>
        <w:pStyle w:val="Text"/>
      </w:pPr>
      <w:r>
        <w:t>The role of MIG, and the EDCM review, is to help people develop workable solutions that can be analy</w:t>
      </w:r>
      <w:r w:rsidR="003122E7">
        <w:t>sed and approved through DCUSA g</w:t>
      </w:r>
      <w:r>
        <w:t xml:space="preserve">overnance.  MIG and the EDCM review </w:t>
      </w:r>
      <w:r w:rsidR="003122E7">
        <w:t>must</w:t>
      </w:r>
      <w:r>
        <w:t xml:space="preserve"> not act as gatekeepers to the change process</w:t>
      </w:r>
      <w:r w:rsidR="003122E7">
        <w:t xml:space="preserve">, and therefore they must not try to take </w:t>
      </w:r>
      <w:r>
        <w:t xml:space="preserve">a holistic view or </w:t>
      </w:r>
      <w:r w:rsidR="003122E7">
        <w:t>to drive</w:t>
      </w:r>
      <w:r>
        <w:t xml:space="preserve"> towards a </w:t>
      </w:r>
      <w:proofErr w:type="gramStart"/>
      <w:r>
        <w:t>long term</w:t>
      </w:r>
      <w:proofErr w:type="gramEnd"/>
      <w:r>
        <w:t xml:space="preserve"> single solution.</w:t>
      </w:r>
    </w:p>
    <w:p w14:paraId="452795A8" w14:textId="57CCB7C0" w:rsidR="00EC09B8" w:rsidRDefault="00EC09B8" w:rsidP="00EC09B8">
      <w:pPr>
        <w:pStyle w:val="Heading2"/>
      </w:pPr>
      <w:r>
        <w:lastRenderedPageBreak/>
        <w:t>c) Should future demand and generation led reinforcement costs be included or excluded in EDCM to provide locational cost signals</w:t>
      </w:r>
      <w:r w:rsidR="00D46632">
        <w:t xml:space="preserve">.  </w:t>
      </w:r>
      <w:r>
        <w:t>If so, are the current FCP and LRIC demand and generation approaches providing satisfactory cost reflective charges – if not, recommend how can we facilitate improvement including delivery timescales.</w:t>
      </w:r>
    </w:p>
    <w:p w14:paraId="4DE5FCF3" w14:textId="286F3C4A" w:rsidR="00EC09B8" w:rsidRDefault="00EC09B8" w:rsidP="00EC09B8">
      <w:pPr>
        <w:pStyle w:val="Text"/>
      </w:pPr>
      <w:r>
        <w:t>They should be excluded, for the reasons given in the DCP 206 proposal form.</w:t>
      </w:r>
    </w:p>
    <w:p w14:paraId="45183BC9" w14:textId="77777777" w:rsidR="00EC09B8" w:rsidRDefault="00EC09B8" w:rsidP="00EC09B8">
      <w:pPr>
        <w:pStyle w:val="Heading2"/>
      </w:pPr>
      <w:r>
        <w:t>d) Is there sufficient transparency of the EDCM, and effective communications with customers, bearing in mind the requirement not to disclose individual customers’ confidential data to others? If not, who should do this work?</w:t>
      </w:r>
    </w:p>
    <w:p w14:paraId="034353B1" w14:textId="29381AA2" w:rsidR="00EC09B8" w:rsidRDefault="00EC09B8" w:rsidP="00EC09B8">
      <w:pPr>
        <w:pStyle w:val="Text"/>
      </w:pPr>
      <w:r>
        <w:t>There is not sufficient transparency</w:t>
      </w:r>
      <w:r w:rsidR="005F34FF">
        <w:t>.  In particular, customers are not able to verify that the DNO has calculated charges correctly, and are not able to explore the impact of possible scenarios without disclosing their possible</w:t>
      </w:r>
      <w:r w:rsidR="003122E7">
        <w:t xml:space="preserve"> business</w:t>
      </w:r>
      <w:r w:rsidR="005F34FF">
        <w:t xml:space="preserve"> plans to the DNO.</w:t>
      </w:r>
    </w:p>
    <w:p w14:paraId="714B929A" w14:textId="2F175F23" w:rsidR="002E6483" w:rsidRDefault="00EC09B8" w:rsidP="00EC09B8">
      <w:pPr>
        <w:pStyle w:val="Text"/>
      </w:pPr>
      <w:r>
        <w:t>DNOs should be remedying the lack of transparency</w:t>
      </w:r>
      <w:r w:rsidR="005F34FF">
        <w:t xml:space="preserve"> by </w:t>
      </w:r>
      <w:r w:rsidR="002E6483">
        <w:t>publishing alongside their charging statements and CDCM models all the non-customer-specific</w:t>
      </w:r>
      <w:r w:rsidR="005F34FF">
        <w:t xml:space="preserve"> information</w:t>
      </w:r>
      <w:r w:rsidR="002E6483">
        <w:t xml:space="preserve"> in their EDCM models, including:</w:t>
      </w:r>
    </w:p>
    <w:p w14:paraId="40A137A1" w14:textId="77777777" w:rsidR="002E6483" w:rsidRDefault="002E6483" w:rsidP="002E6483">
      <w:pPr>
        <w:pStyle w:val="ListBullet"/>
      </w:pPr>
      <w:proofErr w:type="gramStart"/>
      <w:r>
        <w:t>all</w:t>
      </w:r>
      <w:proofErr w:type="gramEnd"/>
      <w:r>
        <w:t xml:space="preserve"> the DNO-wide input data entered in sheet 11 of the model, and</w:t>
      </w:r>
    </w:p>
    <w:p w14:paraId="3E636A21" w14:textId="03DFEB4A" w:rsidR="002E6483" w:rsidRDefault="002E6483" w:rsidP="002E6483">
      <w:pPr>
        <w:pStyle w:val="ListBullet"/>
      </w:pPr>
      <w:proofErr w:type="gramStart"/>
      <w:r>
        <w:t>all</w:t>
      </w:r>
      <w:proofErr w:type="gramEnd"/>
      <w:r>
        <w:t xml:space="preserve"> the aggregated information that appears in the sheet </w:t>
      </w:r>
      <w:proofErr w:type="spellStart"/>
      <w:r>
        <w:t>OneLiners</w:t>
      </w:r>
      <w:proofErr w:type="spellEnd"/>
      <w:r>
        <w:t xml:space="preserve"> or Aggregates of a populated EDCM model.</w:t>
      </w:r>
    </w:p>
    <w:p w14:paraId="057D43FF" w14:textId="06EB3BED" w:rsidR="002E6483" w:rsidRDefault="002E6483" w:rsidP="002E6483">
      <w:pPr>
        <w:pStyle w:val="Text"/>
      </w:pPr>
      <w:r>
        <w:t>None of these data are individual customers’ confidential data.</w:t>
      </w:r>
    </w:p>
    <w:p w14:paraId="7D5F5451" w14:textId="31A649CE" w:rsidR="00EC09B8" w:rsidRDefault="005F34FF" w:rsidP="00EC09B8">
      <w:pPr>
        <w:pStyle w:val="Text"/>
      </w:pPr>
      <w:r>
        <w:t xml:space="preserve">The work that I did in the context of MIG issue 70, including the MIG issue 70 models available from </w:t>
      </w:r>
      <w:hyperlink r:id="rId8" w:history="1">
        <w:r w:rsidRPr="00D40A40">
          <w:rPr>
            <w:rStyle w:val="Hyperlink"/>
          </w:rPr>
          <w:t>http://dcmf.co.uk/models/edcm.html</w:t>
        </w:r>
      </w:hyperlink>
      <w:r>
        <w:t>, would facilitate the task of any DNO that wanted to improve the transparency of its own models.</w:t>
      </w:r>
    </w:p>
    <w:p w14:paraId="40523A84" w14:textId="421537CA" w:rsidR="002E6483" w:rsidRDefault="002E6483" w:rsidP="00EC09B8">
      <w:pPr>
        <w:pStyle w:val="Text"/>
      </w:pPr>
      <w:r>
        <w:t>In addition to these data from the EDCM tariff model itself, DNOs should also be more transparent about other data feeding into the methodology.  In particular, DNOs should publish alongside their charging statements and CDCM models the following:</w:t>
      </w:r>
    </w:p>
    <w:p w14:paraId="024F9D45" w14:textId="2072C47E" w:rsidR="002E6483" w:rsidRDefault="002E6483" w:rsidP="002E6483">
      <w:pPr>
        <w:pStyle w:val="Text"/>
        <w:numPr>
          <w:ilvl w:val="2"/>
          <w:numId w:val="10"/>
        </w:numPr>
      </w:pPr>
      <w:r>
        <w:t xml:space="preserve">All the volume, capacity, asset counts and circuit length assumptions underpinning their 500 MW model (with or without DCP 133).  Only unit costs of individual network components should be eligible to be redacted. </w:t>
      </w:r>
    </w:p>
    <w:p w14:paraId="6DE8EB44" w14:textId="0089AC86" w:rsidR="002E6483" w:rsidRDefault="002E6483" w:rsidP="002E6483">
      <w:pPr>
        <w:pStyle w:val="Text"/>
        <w:numPr>
          <w:ilvl w:val="2"/>
          <w:numId w:val="10"/>
        </w:numPr>
      </w:pPr>
      <w:r>
        <w:t>The denominator (a £/kW figure) in the calculation of network use factors for each of the five EDCM network levels.</w:t>
      </w:r>
    </w:p>
    <w:p w14:paraId="7C75362A" w14:textId="43510C46" w:rsidR="002E6483" w:rsidRDefault="002E6483" w:rsidP="002E6483">
      <w:pPr>
        <w:pStyle w:val="Text"/>
        <w:numPr>
          <w:ilvl w:val="2"/>
          <w:numId w:val="10"/>
        </w:numPr>
      </w:pPr>
      <w:r>
        <w:t>Whilst FCP or LRIC is still in use, system diagram information enabling a user to match nodes or network groups in the charge 1 statement with items in the long term development statement, and mapping information establishing a correspondence with accurate geographical locations.</w:t>
      </w:r>
    </w:p>
    <w:p w14:paraId="6BAAFE5E" w14:textId="3888BB27" w:rsidR="002E6483" w:rsidRDefault="002E6483" w:rsidP="002E6483">
      <w:pPr>
        <w:pStyle w:val="Text"/>
        <w:numPr>
          <w:ilvl w:val="2"/>
          <w:numId w:val="10"/>
        </w:numPr>
      </w:pPr>
      <w:r>
        <w:t>Whilst FCP or LRIC is still in use for demand, the kW and kVA figures associated with charge 1 at each node or network group.  (These figures affect demand charges.)</w:t>
      </w:r>
    </w:p>
    <w:p w14:paraId="31E69ABD" w14:textId="72C58269" w:rsidR="007F1057" w:rsidRDefault="00D4760A" w:rsidP="007F1057">
      <w:pPr>
        <w:pStyle w:val="Text"/>
      </w:pPr>
      <w:r>
        <w:lastRenderedPageBreak/>
        <w:t>A good DNO</w:t>
      </w:r>
      <w:r w:rsidR="007F1057">
        <w:t xml:space="preserve"> would also publish information explaining major movements in network use factors, as well as the potential investment projects that underpin any significant charge 1 </w:t>
      </w:r>
      <w:r w:rsidR="004A3EEB">
        <w:t>figure (whilst</w:t>
      </w:r>
      <w:r w:rsidR="007F1057">
        <w:t xml:space="preserve"> FCP or LRIC is still in use).  Unfortunately it </w:t>
      </w:r>
      <w:r>
        <w:t>may</w:t>
      </w:r>
      <w:r w:rsidR="007F1057">
        <w:t xml:space="preserve"> not </w:t>
      </w:r>
      <w:r>
        <w:t xml:space="preserve">be as </w:t>
      </w:r>
      <w:r w:rsidR="007F1057">
        <w:t xml:space="preserve">easy to specify a </w:t>
      </w:r>
      <w:r>
        <w:t xml:space="preserve">generic </w:t>
      </w:r>
      <w:r w:rsidR="007F1057">
        <w:t>template for the release of this more information</w:t>
      </w:r>
      <w:r>
        <w:t xml:space="preserve"> as it is for the DNO-wide data in EDCM tariff models and for the other non-confidential data items listed above</w:t>
      </w:r>
      <w:r w:rsidR="007F1057">
        <w:t xml:space="preserve">. </w:t>
      </w:r>
    </w:p>
    <w:p w14:paraId="28F9F865" w14:textId="77777777" w:rsidR="00EC09B8" w:rsidRDefault="00EC09B8" w:rsidP="00EC09B8">
      <w:pPr>
        <w:pStyle w:val="Heading2"/>
      </w:pPr>
      <w:r>
        <w:t>e) Would it be desirable to ensure that all costs that are allocated on the basis of an estimate of super-red consumption should be recovered through super-red unit rates? If so, is this an urgent problem (either because of its impact on customers or because it would need to be solved as part of any long term solution)?</w:t>
      </w:r>
    </w:p>
    <w:p w14:paraId="04D24D42" w14:textId="1E28EAE3" w:rsidR="00EC09B8" w:rsidRDefault="00D4760A" w:rsidP="00EC09B8">
      <w:pPr>
        <w:pStyle w:val="Text"/>
      </w:pPr>
      <w:r>
        <w:t>It sounds good in principle</w:t>
      </w:r>
      <w:r w:rsidR="00D46632">
        <w:t xml:space="preserve">.  </w:t>
      </w:r>
      <w:r w:rsidR="00EC09B8">
        <w:t xml:space="preserve">But maybe </w:t>
      </w:r>
      <w:r>
        <w:t xml:space="preserve">it is necessary, in developing a solution, to take account of </w:t>
      </w:r>
      <w:r w:rsidR="00EC09B8">
        <w:t xml:space="preserve">the dramatic </w:t>
      </w:r>
      <w:r>
        <w:t xml:space="preserve">adverse </w:t>
      </w:r>
      <w:r w:rsidR="00EC09B8">
        <w:t xml:space="preserve">impact on the predictability of DNO revenues that </w:t>
      </w:r>
      <w:r w:rsidR="004A3EEB">
        <w:t xml:space="preserve">EDCM </w:t>
      </w:r>
      <w:r w:rsidR="00EC09B8">
        <w:t>charges dom</w:t>
      </w:r>
      <w:r>
        <w:t>inated by unit rates could imply.</w:t>
      </w:r>
    </w:p>
    <w:p w14:paraId="5A7FE90E" w14:textId="55A8D516" w:rsidR="00EC09B8" w:rsidRDefault="00EC09B8" w:rsidP="00EC09B8">
      <w:pPr>
        <w:pStyle w:val="Text"/>
      </w:pPr>
      <w:r>
        <w:t>This is one of the questions that the MIG review group could helpfully work on</w:t>
      </w:r>
      <w:r w:rsidR="00E23F70">
        <w:t>,</w:t>
      </w:r>
      <w:r>
        <w:t xml:space="preserve"> in order to help design a </w:t>
      </w:r>
      <w:r w:rsidR="00E23F70">
        <w:t xml:space="preserve">workable </w:t>
      </w:r>
      <w:r>
        <w:t>change proposal that would address the current issue of sneaky ch</w:t>
      </w:r>
      <w:r w:rsidR="007F1057">
        <w:t xml:space="preserve">arges in the EDCM.  </w:t>
      </w:r>
      <w:r w:rsidR="00EE35C6">
        <w:t>(</w:t>
      </w:r>
      <w:r w:rsidR="007F1057">
        <w:t xml:space="preserve">What I call </w:t>
      </w:r>
      <w:r>
        <w:t>“sneaky charges”</w:t>
      </w:r>
      <w:r w:rsidR="007F1057">
        <w:t xml:space="preserve"> is what happens in </w:t>
      </w:r>
      <w:r>
        <w:t>cases where consumption in one year is the main driver of the level of a capacity charge two years hence</w:t>
      </w:r>
      <w:r w:rsidR="007F1057">
        <w:t xml:space="preserve">: in these cases a charge </w:t>
      </w:r>
      <w:r w:rsidR="00EE35C6">
        <w:t xml:space="preserve">expressed as a capacity charge, </w:t>
      </w:r>
      <w:r w:rsidR="007F1057">
        <w:t xml:space="preserve">and therefore assumed not to </w:t>
      </w:r>
      <w:r>
        <w:t>depend on consumption</w:t>
      </w:r>
      <w:r w:rsidR="00EE35C6">
        <w:t>,</w:t>
      </w:r>
      <w:r w:rsidR="007F1057">
        <w:t xml:space="preserve"> in fact </w:t>
      </w:r>
      <w:r>
        <w:t xml:space="preserve">sneakily </w:t>
      </w:r>
      <w:r w:rsidR="007F1057">
        <w:t>depend</w:t>
      </w:r>
      <w:r w:rsidR="00EE35C6">
        <w:t>s</w:t>
      </w:r>
      <w:r w:rsidR="007F1057">
        <w:t xml:space="preserve"> on consumption</w:t>
      </w:r>
      <w:r w:rsidR="00EE35C6">
        <w:t>.)</w:t>
      </w:r>
    </w:p>
    <w:p w14:paraId="7B875612" w14:textId="77777777" w:rsidR="00EC09B8" w:rsidRDefault="00EC09B8" w:rsidP="00EC09B8">
      <w:pPr>
        <w:pStyle w:val="Heading2"/>
      </w:pPr>
      <w:r>
        <w:t>f) Should any work be initiated in relation to the year-on-year volatility of network use factors? If so, is this an urgent problem (either because of its impact on customers or because it would need to be solved as part of any long term solution)?</w:t>
      </w:r>
    </w:p>
    <w:p w14:paraId="05FE3E80" w14:textId="729BE556" w:rsidR="00092C34" w:rsidRDefault="00EC09B8" w:rsidP="00092C34">
      <w:pPr>
        <w:pStyle w:val="Text"/>
      </w:pPr>
      <w:r>
        <w:t>This is one of the questions that the MIG review group could helpfully work on</w:t>
      </w:r>
      <w:r w:rsidR="00D46632">
        <w:t xml:space="preserve">.  </w:t>
      </w:r>
    </w:p>
    <w:p w14:paraId="528E62DC" w14:textId="41D89CC5" w:rsidR="00EC09B8" w:rsidRDefault="00D4760A" w:rsidP="00092C34">
      <w:pPr>
        <w:pStyle w:val="Text"/>
      </w:pPr>
      <w:r>
        <w:t>With no</w:t>
      </w:r>
      <w:r w:rsidR="00EC09B8">
        <w:t xml:space="preserve"> transparency of the network use factor calculation and the network use factors, I </w:t>
      </w:r>
      <w:r>
        <w:t xml:space="preserve">have no idea </w:t>
      </w:r>
      <w:r w:rsidR="00EC09B8">
        <w:t>whether it is an important or urgent problem</w:t>
      </w:r>
      <w:r w:rsidR="00D46632">
        <w:t xml:space="preserve">.  </w:t>
      </w:r>
    </w:p>
    <w:p w14:paraId="58AEAA58" w14:textId="77777777" w:rsidR="00EC09B8" w:rsidRDefault="00EC09B8" w:rsidP="00EC09B8">
      <w:pPr>
        <w:pStyle w:val="Heading2"/>
      </w:pPr>
      <w:r>
        <w:t>g) Should any other work be undertaken to minimise volatility? If yes, is it urgent (either because of its impact on customers or because it would need to be part of the development of any long term solution)?</w:t>
      </w:r>
    </w:p>
    <w:p w14:paraId="57C33C48" w14:textId="71822716" w:rsidR="00092C34" w:rsidRDefault="00092C34" w:rsidP="00092C34">
      <w:pPr>
        <w:pStyle w:val="Text"/>
      </w:pPr>
      <w:r>
        <w:t>No.</w:t>
      </w:r>
      <w:r w:rsidR="00EE35C6">
        <w:t xml:space="preserve">  It is important to distinguish between different forms of volatility:</w:t>
      </w:r>
    </w:p>
    <w:p w14:paraId="71D074BD" w14:textId="079829B0" w:rsidR="00092C34" w:rsidRDefault="00EC09B8" w:rsidP="00EE35C6">
      <w:pPr>
        <w:pStyle w:val="Text"/>
        <w:numPr>
          <w:ilvl w:val="2"/>
          <w:numId w:val="10"/>
        </w:numPr>
      </w:pPr>
      <w:r>
        <w:t>Volatility that reflects changes in costs</w:t>
      </w:r>
      <w:r w:rsidR="00EE35C6">
        <w:t>, changes in network use that legitimately affect the allocation of costs,</w:t>
      </w:r>
      <w:r>
        <w:t xml:space="preserve"> or other legitimate elements in the charging methodology</w:t>
      </w:r>
      <w:r w:rsidR="00EE35C6">
        <w:t>,</w:t>
      </w:r>
      <w:r>
        <w:t xml:space="preserve"> is a desirable feature: it sh</w:t>
      </w:r>
      <w:r w:rsidR="00092C34">
        <w:t>ould be called responsiveness.</w:t>
      </w:r>
    </w:p>
    <w:p w14:paraId="2AFA33DE" w14:textId="276E5D72" w:rsidR="00EE35C6" w:rsidRDefault="00EC09B8" w:rsidP="00EE35C6">
      <w:pPr>
        <w:pStyle w:val="Text"/>
        <w:numPr>
          <w:ilvl w:val="2"/>
          <w:numId w:val="10"/>
        </w:numPr>
      </w:pPr>
      <w:r>
        <w:t>Volatility that reflects random, incorrect or irrational elemen</w:t>
      </w:r>
      <w:r w:rsidR="006D4F2C">
        <w:t>ts in the charging methodology</w:t>
      </w:r>
      <w:r>
        <w:t xml:space="preserve"> is merely a symptom of a deeper defect, and it is the underlying defect </w:t>
      </w:r>
      <w:r w:rsidR="00092C34">
        <w:t>that</w:t>
      </w:r>
      <w:r>
        <w:t xml:space="preserve"> should be analysed and addressed</w:t>
      </w:r>
      <w:r w:rsidR="00EE35C6">
        <w:t>.</w:t>
      </w:r>
    </w:p>
    <w:p w14:paraId="3D0CA4BA" w14:textId="77777777" w:rsidR="006D4F2C" w:rsidRDefault="00092C34" w:rsidP="00092C34">
      <w:pPr>
        <w:pStyle w:val="Text"/>
      </w:pPr>
      <w:r>
        <w:t>Overly d</w:t>
      </w:r>
      <w:r w:rsidR="00EC09B8">
        <w:t xml:space="preserve">etailed analysis of volatility can </w:t>
      </w:r>
      <w:r w:rsidR="00EE35C6">
        <w:t xml:space="preserve">sometimes </w:t>
      </w:r>
      <w:r w:rsidR="00EC09B8">
        <w:t>be a displacement activity to avoid hard questions</w:t>
      </w:r>
      <w:r>
        <w:t xml:space="preserve"> about the charging methodology</w:t>
      </w:r>
      <w:r w:rsidR="006D4F2C">
        <w:t>.</w:t>
      </w:r>
    </w:p>
    <w:p w14:paraId="38255039" w14:textId="29975130" w:rsidR="003122E7" w:rsidRDefault="00E23F70" w:rsidP="00092C34">
      <w:pPr>
        <w:pStyle w:val="Text"/>
      </w:pPr>
      <w:r>
        <w:lastRenderedPageBreak/>
        <w:t>This said</w:t>
      </w:r>
      <w:proofErr w:type="gramStart"/>
      <w:r>
        <w:t>,</w:t>
      </w:r>
      <w:proofErr w:type="gramEnd"/>
      <w:r>
        <w:t xml:space="preserve"> </w:t>
      </w:r>
      <w:r w:rsidR="00EC09B8">
        <w:t xml:space="preserve">it could be useful for the </w:t>
      </w:r>
      <w:r w:rsidR="00092C34">
        <w:t xml:space="preserve">review </w:t>
      </w:r>
      <w:r w:rsidR="00EC09B8">
        <w:t xml:space="preserve">to analyse changes in charges and in individual ingredients to charges since the introduction of the EDCM, in order to flag up major changes and to prompt an analysis of whether these </w:t>
      </w:r>
      <w:r w:rsidR="003122E7">
        <w:t>movements</w:t>
      </w:r>
      <w:r w:rsidR="00EC09B8">
        <w:t xml:space="preserve"> reflected legitimate changes in costs or in the allocation of costs</w:t>
      </w:r>
      <w:r w:rsidR="00D46632">
        <w:t xml:space="preserve">.  </w:t>
      </w:r>
      <w:r w:rsidR="00EC09B8">
        <w:t xml:space="preserve">This might </w:t>
      </w:r>
      <w:r w:rsidR="003122E7">
        <w:t xml:space="preserve">help </w:t>
      </w:r>
      <w:r w:rsidR="00EC09B8">
        <w:t>identify defective components of the EDCM beyond those that are already known</w:t>
      </w:r>
      <w:r w:rsidR="00D46632">
        <w:t xml:space="preserve">.  </w:t>
      </w:r>
    </w:p>
    <w:p w14:paraId="1428E8FD" w14:textId="0A83742D" w:rsidR="00EC09B8" w:rsidRDefault="00EC09B8" w:rsidP="00092C34">
      <w:pPr>
        <w:pStyle w:val="Text"/>
      </w:pPr>
      <w:r>
        <w:t>Improvements in transparency will be needed to permit this analysis</w:t>
      </w:r>
      <w:r w:rsidR="00D46632">
        <w:t xml:space="preserve">.  </w:t>
      </w:r>
    </w:p>
    <w:p w14:paraId="2613D13B" w14:textId="140AB8FD" w:rsidR="00EC09B8" w:rsidRDefault="00EC09B8" w:rsidP="00EC09B8">
      <w:pPr>
        <w:pStyle w:val="Heading2"/>
      </w:pPr>
      <w:r>
        <w:t>h) Is there any urgent need to change the calculation of the target generation revenue pot? Do we need to reflect the impact of RIIO-E</w:t>
      </w:r>
      <w:r w:rsidR="00092C34">
        <w:t>D1 price control revenue basis?</w:t>
      </w:r>
    </w:p>
    <w:p w14:paraId="614E952B" w14:textId="2A1E6DEC" w:rsidR="00EC09B8" w:rsidRDefault="00092C34" w:rsidP="00092C34">
      <w:pPr>
        <w:pStyle w:val="Text"/>
      </w:pPr>
      <w:r>
        <w:t>No</w:t>
      </w:r>
      <w:r w:rsidR="00EE35C6">
        <w:t xml:space="preserve">.  </w:t>
      </w:r>
      <w:r>
        <w:t>EDCM g</w:t>
      </w:r>
      <w:r w:rsidR="00EC09B8">
        <w:t xml:space="preserve">eneration </w:t>
      </w:r>
      <w:r w:rsidR="00D46632">
        <w:t xml:space="preserve">capacity </w:t>
      </w:r>
      <w:r w:rsidR="00EC09B8">
        <w:t>charges serve no useful purpose and should be left to wither away to zero as the terms currently feeding them di</w:t>
      </w:r>
      <w:r>
        <w:t>sappear from the price control.</w:t>
      </w:r>
    </w:p>
    <w:p w14:paraId="65373E28" w14:textId="77777777" w:rsidR="00EC09B8" w:rsidRDefault="00EC09B8" w:rsidP="00EC09B8">
      <w:pPr>
        <w:pStyle w:val="Heading2"/>
      </w:pPr>
      <w:proofErr w:type="spellStart"/>
      <w:r>
        <w:t>i</w:t>
      </w:r>
      <w:proofErr w:type="spellEnd"/>
      <w:r>
        <w:t>) Are there any other issues with the EDCM (whether already raised as DCMF MIG issues or not) which are urgent or important and are not already being considered as DCUSA change proposals?</w:t>
      </w:r>
    </w:p>
    <w:p w14:paraId="40BEAD75" w14:textId="5157AD4C" w:rsidR="00EC09B8" w:rsidRDefault="00EE35C6" w:rsidP="00092C34">
      <w:pPr>
        <w:pStyle w:val="Text"/>
      </w:pPr>
      <w:r>
        <w:t>Here are a few that are not currently listed as MIG issues:</w:t>
      </w:r>
    </w:p>
    <w:p w14:paraId="286E9600" w14:textId="2926B0E1" w:rsidR="00EC09B8" w:rsidRDefault="00EC09B8" w:rsidP="00092C34">
      <w:pPr>
        <w:pStyle w:val="ListBullet"/>
      </w:pPr>
      <w:r>
        <w:t>Compliance</w:t>
      </w:r>
      <w:r w:rsidR="00D46632">
        <w:t xml:space="preserve">.  </w:t>
      </w:r>
      <w:r>
        <w:t>Do DNOs comply with the EDCM in setting their charges?</w:t>
      </w:r>
      <w:r w:rsidR="00D46632">
        <w:t xml:space="preserve"> </w:t>
      </w:r>
      <w:r w:rsidR="00092C34">
        <w:t>Who checks that they do?</w:t>
      </w:r>
      <w:r w:rsidR="00D46632">
        <w:t xml:space="preserve"> </w:t>
      </w:r>
      <w:r>
        <w:t>What protections</w:t>
      </w:r>
      <w:r w:rsidR="00092C34">
        <w:t xml:space="preserve"> </w:t>
      </w:r>
      <w:r w:rsidR="007F1057">
        <w:t>are there</w:t>
      </w:r>
      <w:r w:rsidR="00092C34">
        <w:t xml:space="preserve"> against error and fraud?</w:t>
      </w:r>
      <w:r w:rsidR="007F1057">
        <w:t xml:space="preserve">  Should Ofgem establish a requirement for DNOs to arrange for some kind of audit of the input data into their charging models, or even require DNOs to pay bounties (payable on top of any refunds due) to customers or others who discover errors?</w:t>
      </w:r>
    </w:p>
    <w:p w14:paraId="5E073E81" w14:textId="5B26375A" w:rsidR="0032649F" w:rsidRDefault="007F1057" w:rsidP="00092C34">
      <w:pPr>
        <w:pStyle w:val="ListBullet"/>
      </w:pPr>
      <w:r>
        <w:t>CDCM/EDCM boundary issues.</w:t>
      </w:r>
      <w:r w:rsidR="0032649F">
        <w:t xml:space="preserve">  Some of the defects arise from the CDCM’s overcharging of HV customers, which is presumably outside the scope of the EDCM review.  However, the possibility of new site-specific CDCM tariffs that incorporate some EDCM-like elements for CDCM customers who are connected to the EHV network through sole use assets towards site-specific CDCM tariffs should be considered.  Alternatively, perhaps the calculation of HV Sub EDCM tariffs should incorporate CDCM elements, e.g. using </w:t>
      </w:r>
      <w:r w:rsidR="004A3EEB">
        <w:t xml:space="preserve">a </w:t>
      </w:r>
      <w:r w:rsidR="0032649F">
        <w:t>CDCM</w:t>
      </w:r>
      <w:r w:rsidR="004A3EEB">
        <w:t>-like</w:t>
      </w:r>
      <w:r w:rsidR="0032649F">
        <w:t xml:space="preserve"> basis to allocate 132kV network costs to the unit rates for these customers.</w:t>
      </w:r>
    </w:p>
    <w:p w14:paraId="7C85D92C" w14:textId="41BCB754" w:rsidR="0032649F" w:rsidRDefault="0032649F" w:rsidP="00092C34">
      <w:pPr>
        <w:pStyle w:val="ListBullet"/>
      </w:pPr>
      <w:r>
        <w:t xml:space="preserve">Administrative burden of excessive numbers of site-specific demand tariffs.  This is a growing issue because of the large numbers of new EDCM renewable generation.  Whilst the </w:t>
      </w:r>
      <w:r w:rsidR="004A3EEB">
        <w:t xml:space="preserve">site-specific </w:t>
      </w:r>
      <w:r>
        <w:t xml:space="preserve">fixed charge is </w:t>
      </w:r>
      <w:r w:rsidR="004A3EEB">
        <w:t xml:space="preserve">a </w:t>
      </w:r>
      <w:r>
        <w:t xml:space="preserve">simple </w:t>
      </w:r>
      <w:r w:rsidR="004A3EEB">
        <w:t xml:space="preserve">concept, </w:t>
      </w:r>
      <w:r>
        <w:t xml:space="preserve">and the export capacity charge is uniform, a high level of complexity and diversity of charges applies to </w:t>
      </w:r>
      <w:r w:rsidR="004A3EEB">
        <w:t xml:space="preserve">import charges </w:t>
      </w:r>
      <w:r>
        <w:t xml:space="preserve">for </w:t>
      </w:r>
      <w:r w:rsidR="004A3EEB">
        <w:t xml:space="preserve">station </w:t>
      </w:r>
      <w:r>
        <w:t xml:space="preserve">demand.  Whatever the </w:t>
      </w:r>
      <w:r w:rsidR="004A3EEB">
        <w:t xml:space="preserve">true </w:t>
      </w:r>
      <w:r>
        <w:t>objectives of the EDCM might be</w:t>
      </w:r>
      <w:proofErr w:type="gramStart"/>
      <w:r w:rsidR="004A3EEB">
        <w:t>,</w:t>
      </w:r>
      <w:proofErr w:type="gramEnd"/>
      <w:r>
        <w:t xml:space="preserve"> it is </w:t>
      </w:r>
      <w:r w:rsidR="004A3EEB">
        <w:t xml:space="preserve">very </w:t>
      </w:r>
      <w:r>
        <w:t xml:space="preserve">unlikely that these </w:t>
      </w:r>
      <w:r w:rsidR="004A3EEB">
        <w:t>import charges</w:t>
      </w:r>
      <w:r>
        <w:t xml:space="preserve"> (</w:t>
      </w:r>
      <w:r w:rsidR="004A3EEB">
        <w:t xml:space="preserve">which are </w:t>
      </w:r>
      <w:r>
        <w:t xml:space="preserve">applied to small amounts of capacity and consumption) make a material contribution to </w:t>
      </w:r>
      <w:r w:rsidR="004A3EEB">
        <w:t>these objectives</w:t>
      </w:r>
      <w:r>
        <w:t xml:space="preserve">.  Perhaps we need a simple rule whereby, for EDCM sites where </w:t>
      </w:r>
      <w:r w:rsidR="004A3EEB">
        <w:t>the import</w:t>
      </w:r>
      <w:r>
        <w:t xml:space="preserve"> </w:t>
      </w:r>
      <w:r w:rsidR="004A3EEB">
        <w:t xml:space="preserve">capacity is less than, say, </w:t>
      </w:r>
      <w:r>
        <w:t xml:space="preserve">10 per cent of </w:t>
      </w:r>
      <w:r w:rsidR="004A3EEB">
        <w:t>export</w:t>
      </w:r>
      <w:r>
        <w:t xml:space="preserve"> </w:t>
      </w:r>
      <w:r w:rsidR="004A3EEB">
        <w:t>capacity</w:t>
      </w:r>
      <w:r>
        <w:t xml:space="preserve">, </w:t>
      </w:r>
      <w:r w:rsidR="004A3EEB">
        <w:t xml:space="preserve">then </w:t>
      </w:r>
      <w:r>
        <w:t xml:space="preserve">the </w:t>
      </w:r>
      <w:r w:rsidR="004A3EEB">
        <w:t xml:space="preserve">entire </w:t>
      </w:r>
      <w:r>
        <w:t>fixed charge is applied to the export tariff</w:t>
      </w:r>
      <w:r w:rsidR="004A3EEB">
        <w:t>,</w:t>
      </w:r>
      <w:r>
        <w:t xml:space="preserve"> and the import tariff is </w:t>
      </w:r>
      <w:r w:rsidR="004A3EEB">
        <w:t xml:space="preserve">simplified to </w:t>
      </w:r>
      <w:r>
        <w:t>generic capacity and unit charge</w:t>
      </w:r>
      <w:r w:rsidR="004A3EEB">
        <w:t>s</w:t>
      </w:r>
      <w:r>
        <w:t xml:space="preserve"> for each network level, calculated in line with CDCM principles.</w:t>
      </w:r>
    </w:p>
    <w:p w14:paraId="3F5444A8" w14:textId="2B8A928C" w:rsidR="00092C34" w:rsidRDefault="007F1057" w:rsidP="00092C34">
      <w:pPr>
        <w:pStyle w:val="ListBullet"/>
      </w:pPr>
      <w:r>
        <w:lastRenderedPageBreak/>
        <w:t xml:space="preserve">Establishing a better process </w:t>
      </w:r>
      <w:r w:rsidR="004A3EEB">
        <w:t xml:space="preserve">to help MIG and DCUSA working groups </w:t>
      </w:r>
      <w:r w:rsidR="003122E7">
        <w:t>understand</w:t>
      </w:r>
      <w:r>
        <w:t xml:space="preserve"> and manage </w:t>
      </w:r>
      <w:r w:rsidR="00092C34">
        <w:t xml:space="preserve">the impact of </w:t>
      </w:r>
      <w:r w:rsidR="004A3EEB">
        <w:t xml:space="preserve">changes to the </w:t>
      </w:r>
      <w:r w:rsidR="00092C34">
        <w:t>CDCM on EDCM</w:t>
      </w:r>
      <w:r>
        <w:t xml:space="preserve"> tariffs</w:t>
      </w:r>
      <w:r w:rsidR="00D46632">
        <w:t xml:space="preserve">.  </w:t>
      </w:r>
      <w:r>
        <w:t>For example, changes to the 500 MW model</w:t>
      </w:r>
      <w:r w:rsidR="00092C34">
        <w:t xml:space="preserve">, </w:t>
      </w:r>
      <w:r>
        <w:t xml:space="preserve">changes to </w:t>
      </w:r>
      <w:r w:rsidR="00092C34">
        <w:t xml:space="preserve">service models, </w:t>
      </w:r>
      <w:r>
        <w:t xml:space="preserve">changes to the treatment of </w:t>
      </w:r>
      <w:r w:rsidR="00092C34">
        <w:t>coincidence factors</w:t>
      </w:r>
      <w:r>
        <w:t xml:space="preserve"> could all have a significant impact on EDCM tariffs even they are likely to be driven by CDCM requirements</w:t>
      </w:r>
      <w:r w:rsidR="00092C34">
        <w:t>.</w:t>
      </w:r>
    </w:p>
    <w:p w14:paraId="2BA028E2" w14:textId="62D24001" w:rsidR="00EE35C6" w:rsidRDefault="00EE35C6" w:rsidP="00EE35C6">
      <w:pPr>
        <w:pStyle w:val="Text"/>
      </w:pPr>
      <w:r>
        <w:t>Here are a few that are already MIG issues, are not covered by existing DCUSA change proposals, and are important:</w:t>
      </w:r>
    </w:p>
    <w:p w14:paraId="51F595BA" w14:textId="3DB12C08" w:rsidR="00EE35C6" w:rsidRPr="00EE35C6" w:rsidRDefault="00EE35C6" w:rsidP="00EE35C6">
      <w:pPr>
        <w:pStyle w:val="Text"/>
        <w:numPr>
          <w:ilvl w:val="2"/>
          <w:numId w:val="10"/>
        </w:numPr>
      </w:pPr>
      <w:r>
        <w:t>MIG 49 “</w:t>
      </w:r>
      <w:r>
        <w:rPr>
          <w:color w:val="000000"/>
          <w:kern w:val="0"/>
          <w:szCs w:val="24"/>
          <w:lang w:val="en-US" w:bidi="ar-SA"/>
        </w:rPr>
        <w:t>Customer Categories - consideration of assets below the voltage of connection”.  The defect is that the current customer category is based solely on inspection of the intact network topology, without any consideration of network use in outage conditions.  The solution is likely to involve new rules for the allocation of customer categories, e.g. 0000 would only be available where the customer can be supplied directly from the GSP even after a first circuit outage.</w:t>
      </w:r>
      <w:r w:rsidR="003122E7">
        <w:rPr>
          <w:color w:val="000000"/>
          <w:kern w:val="0"/>
          <w:szCs w:val="24"/>
          <w:lang w:val="en-US" w:bidi="ar-SA"/>
        </w:rPr>
        <w:t xml:space="preserve">  I wrote a paper for MIG on this subject last year.</w:t>
      </w:r>
    </w:p>
    <w:p w14:paraId="5E7F7EAB" w14:textId="77777777" w:rsidR="00EE35C6" w:rsidRDefault="00EE35C6" w:rsidP="00EE35C6">
      <w:pPr>
        <w:pStyle w:val="Text"/>
        <w:numPr>
          <w:ilvl w:val="2"/>
          <w:numId w:val="10"/>
        </w:numPr>
      </w:pPr>
      <w:r>
        <w:t>MIG 64 “Double charging”.</w:t>
      </w:r>
    </w:p>
    <w:sectPr w:rsidR="00EE35C6" w:rsidSect="004F4085">
      <w:footerReference w:type="default" r:id="rId9"/>
      <w:pgSz w:w="11900" w:h="16840"/>
      <w:pgMar w:top="1800" w:right="1440" w:bottom="1440" w:left="1440" w:header="1080" w:footer="83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93BA9" w14:textId="77777777" w:rsidR="006D4F2C" w:rsidRDefault="006D4F2C" w:rsidP="004F4085">
      <w:pPr>
        <w:spacing w:after="0"/>
      </w:pPr>
      <w:r>
        <w:separator/>
      </w:r>
    </w:p>
  </w:endnote>
  <w:endnote w:type="continuationSeparator" w:id="0">
    <w:p w14:paraId="49045E80" w14:textId="77777777" w:rsidR="006D4F2C" w:rsidRDefault="006D4F2C" w:rsidP="004F40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ÇlÇr ÉSÉVÉbÉN"/>
    <w:panose1 w:val="00000000000000000000"/>
    <w:charset w:val="80"/>
    <w:family w:val="moder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35631" w14:textId="43928AB7" w:rsidR="006D4F2C" w:rsidRDefault="006D4F2C">
    <w:pPr>
      <w:pStyle w:val="Footer"/>
    </w:pPr>
    <w:r w:rsidRPr="008021FC">
      <w:tab/>
    </w:r>
    <w:r>
      <w:fldChar w:fldCharType="begin"/>
    </w:r>
    <w:r>
      <w:instrText xml:space="preserve"> PAGE  \* MERGEFORMAT </w:instrText>
    </w:r>
    <w:r>
      <w:fldChar w:fldCharType="separate"/>
    </w:r>
    <w:r w:rsidR="00620AA0">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C5771" w14:textId="77777777" w:rsidR="006D4F2C" w:rsidRDefault="006D4F2C" w:rsidP="004F4085">
      <w:pPr>
        <w:spacing w:after="0"/>
      </w:pPr>
      <w:r>
        <w:separator/>
      </w:r>
    </w:p>
  </w:footnote>
  <w:footnote w:type="continuationSeparator" w:id="0">
    <w:p w14:paraId="48E4570C" w14:textId="77777777" w:rsidR="006D4F2C" w:rsidRDefault="006D4F2C" w:rsidP="004F4085">
      <w:pPr>
        <w:spacing w:after="0"/>
      </w:pPr>
      <w:r>
        <w:continuationSeparator/>
      </w:r>
    </w:p>
  </w:footnote>
  <w:footnote w:id="1">
    <w:p w14:paraId="079B34CE" w14:textId="67297D94" w:rsidR="006D4F2C" w:rsidRPr="00EC09B8" w:rsidRDefault="006D4F2C">
      <w:pPr>
        <w:pStyle w:val="FootnoteText"/>
        <w:rPr>
          <w:lang w:val="en-US"/>
        </w:rPr>
      </w:pPr>
      <w:r>
        <w:rPr>
          <w:rStyle w:val="FootnoteReference"/>
        </w:rPr>
        <w:footnoteRef/>
      </w:r>
      <w:r>
        <w:t xml:space="preserve"> </w:t>
      </w:r>
      <w:r>
        <w:rPr>
          <w:lang w:val="en-US"/>
        </w:rPr>
        <w:tab/>
      </w:r>
      <w:r>
        <w:t>The terms of reference wrongly include the words “if not”.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B21A3854"/>
    <w:lvl w:ilvl="0">
      <w:start w:val="1"/>
      <w:numFmt w:val="bullet"/>
      <w:lvlText w:val=""/>
      <w:lvlJc w:val="left"/>
      <w:pPr>
        <w:tabs>
          <w:tab w:val="num" w:pos="360"/>
        </w:tabs>
        <w:ind w:left="360" w:hanging="360"/>
      </w:pPr>
      <w:rPr>
        <w:rFonts w:ascii="Symbol" w:hAnsi="Symbol" w:hint="default"/>
      </w:rPr>
    </w:lvl>
  </w:abstractNum>
  <w:abstractNum w:abstractNumId="2">
    <w:nsid w:val="1FB87DBC"/>
    <w:multiLevelType w:val="multilevel"/>
    <w:tmpl w:val="3C283E6E"/>
    <w:lvl w:ilvl="0">
      <w:start w:val="1"/>
      <w:numFmt w:val="none"/>
      <w:suff w:val="nothing"/>
      <w:lvlText w:val=""/>
      <w:lvlJc w:val="left"/>
      <w:rPr>
        <w:rFonts w:hint="default"/>
      </w:rPr>
    </w:lvl>
    <w:lvl w:ilvl="1">
      <w:start w:val="1"/>
      <w:numFmt w:val="decimal"/>
      <w:lvlRestart w:val="0"/>
      <w:lvlText w:val="%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lowerRoman"/>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1"/>
  </w:num>
  <w:num w:numId="2">
    <w:abstractNumId w:val="0"/>
  </w:num>
  <w:num w:numId="3">
    <w:abstractNumId w:val="2"/>
  </w:num>
  <w:num w:numId="4">
    <w:abstractNumId w:val="1"/>
  </w:num>
  <w:num w:numId="5">
    <w:abstractNumId w:val="2"/>
  </w:num>
  <w:num w:numId="6">
    <w:abstractNumId w:val="0"/>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070F11"/>
    <w:rsid w:val="00070F11"/>
    <w:rsid w:val="00092C34"/>
    <w:rsid w:val="002E6483"/>
    <w:rsid w:val="003122E7"/>
    <w:rsid w:val="0032649F"/>
    <w:rsid w:val="004A3EEB"/>
    <w:rsid w:val="004F03A7"/>
    <w:rsid w:val="004F4085"/>
    <w:rsid w:val="005F34FF"/>
    <w:rsid w:val="00620AA0"/>
    <w:rsid w:val="00645488"/>
    <w:rsid w:val="006D4F2C"/>
    <w:rsid w:val="00747B12"/>
    <w:rsid w:val="007A796F"/>
    <w:rsid w:val="007F1057"/>
    <w:rsid w:val="008620BE"/>
    <w:rsid w:val="009F1DB7"/>
    <w:rsid w:val="00A3030B"/>
    <w:rsid w:val="00BD3BB7"/>
    <w:rsid w:val="00D46632"/>
    <w:rsid w:val="00D4760A"/>
    <w:rsid w:val="00D844C1"/>
    <w:rsid w:val="00E23F70"/>
    <w:rsid w:val="00E930B8"/>
    <w:rsid w:val="00EC09B8"/>
    <w:rsid w:val="00EE35C6"/>
    <w:rsid w:val="00F85A5C"/>
    <w:rsid w:val="00FD6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E4D1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qFormat/>
    <w:rsid w:val="004F03A7"/>
    <w:pPr>
      <w:keepNext/>
      <w:jc w:val="left"/>
      <w:outlineLvl w:val="1"/>
    </w:pPr>
    <w:rPr>
      <w:rFonts w:ascii="Arial Black" w:hAnsi="Arial Black"/>
      <w:color w:val="333333"/>
      <w:kern w:val="0"/>
      <w:sz w:val="20"/>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pPr>
      <w:tabs>
        <w:tab w:val="num" w:pos="720"/>
      </w:tabs>
      <w:spacing w:before="120" w:after="12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784EED"/>
    <w:rPr>
      <w:rFonts w:cs="Times New Roman"/>
    </w:rPr>
  </w:style>
  <w:style w:type="paragraph" w:customStyle="1" w:styleId="Byline">
    <w:name w:val="Byline"/>
    <w:basedOn w:val="Heading3"/>
    <w:rsid w:val="004F03A7"/>
    <w:pPr>
      <w:outlineLvl w:val="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pPr>
      <w:keepNext/>
      <w:numPr>
        <w:numId w:val="10"/>
      </w:numPr>
      <w:spacing w:after="180"/>
      <w:jc w:val="left"/>
      <w:outlineLvl w:val="0"/>
    </w:pPr>
    <w:rPr>
      <w:rFonts w:ascii="Arial Black" w:hAnsi="Arial Black"/>
      <w:color w:val="333333"/>
      <w:kern w:val="0"/>
      <w:sz w:val="28"/>
      <w:lang w:eastAsia="ja-JP"/>
    </w:rPr>
  </w:style>
  <w:style w:type="paragraph" w:styleId="Heading2">
    <w:name w:val="heading 2"/>
    <w:basedOn w:val="Normal"/>
    <w:next w:val="Text"/>
    <w:qFormat/>
    <w:rsid w:val="004F03A7"/>
    <w:pPr>
      <w:keepNext/>
      <w:jc w:val="left"/>
      <w:outlineLvl w:val="1"/>
    </w:pPr>
    <w:rPr>
      <w:rFonts w:ascii="Arial Black" w:hAnsi="Arial Black"/>
      <w:color w:val="333333"/>
      <w:kern w:val="0"/>
      <w:sz w:val="20"/>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pPr>
      <w:tabs>
        <w:tab w:val="num" w:pos="720"/>
      </w:tabs>
      <w:spacing w:before="120" w:after="12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character" w:customStyle="1" w:styleId="legaddition">
    <w:name w:val="legaddition"/>
    <w:basedOn w:val="DefaultParagraphFont"/>
    <w:rsid w:val="00784EED"/>
    <w:rPr>
      <w:rFonts w:cs="Times New Roman"/>
    </w:rPr>
  </w:style>
  <w:style w:type="paragraph" w:customStyle="1" w:styleId="Byline">
    <w:name w:val="Byline"/>
    <w:basedOn w:val="Heading3"/>
    <w:rsid w:val="004F03A7"/>
    <w:pPr>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cmf.co.uk/models/edcm.html"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ck:Documents:Projects:Templates: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T2.dotx</Template>
  <TotalTime>105</TotalTime>
  <Pages>6</Pages>
  <Words>2258</Words>
  <Characters>12877</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13</cp:revision>
  <cp:lastPrinted>2014-07-22T19:06:00Z</cp:lastPrinted>
  <dcterms:created xsi:type="dcterms:W3CDTF">2014-07-19T19:23:00Z</dcterms:created>
  <dcterms:modified xsi:type="dcterms:W3CDTF">2014-07-25T13:06:00Z</dcterms:modified>
  <cp:category/>
</cp:coreProperties>
</file>