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F2024" w14:textId="77777777" w:rsidR="00E50BB8" w:rsidRPr="006B3C4A" w:rsidRDefault="00E50BB8" w:rsidP="00F24FAB">
      <w:pPr>
        <w:pStyle w:val="Heading1"/>
        <w:numPr>
          <w:ilvl w:val="0"/>
          <w:numId w:val="0"/>
        </w:numPr>
        <w:rPr>
          <w:b/>
          <w:sz w:val="20"/>
          <w:szCs w:val="20"/>
        </w:rPr>
      </w:pPr>
      <w:r>
        <w:rPr>
          <w:b/>
          <w:sz w:val="20"/>
          <w:szCs w:val="20"/>
        </w:rPr>
        <w:t>Appendix C</w:t>
      </w:r>
      <w:r w:rsidRPr="006B3C4A">
        <w:rPr>
          <w:b/>
          <w:sz w:val="20"/>
          <w:szCs w:val="20"/>
        </w:rPr>
        <w:t>- RE</w:t>
      </w:r>
      <w:r>
        <w:rPr>
          <w:b/>
          <w:sz w:val="20"/>
          <w:szCs w:val="20"/>
        </w:rPr>
        <w:t>S</w:t>
      </w:r>
      <w:r w:rsidRPr="006B3C4A">
        <w:rPr>
          <w:b/>
          <w:sz w:val="20"/>
          <w:szCs w:val="20"/>
        </w:rPr>
        <w:t>PONSE FORM</w:t>
      </w:r>
    </w:p>
    <w:p w14:paraId="5930A6DF" w14:textId="77777777" w:rsidR="00E50BB8" w:rsidRPr="006B3C4A" w:rsidRDefault="00E50BB8" w:rsidP="00F24FAB">
      <w:pPr>
        <w:pStyle w:val="Heading1"/>
        <w:numPr>
          <w:ilvl w:val="0"/>
          <w:numId w:val="0"/>
        </w:numPr>
        <w:rPr>
          <w:sz w:val="20"/>
          <w:szCs w:val="20"/>
        </w:rPr>
      </w:pPr>
    </w:p>
    <w:p w14:paraId="3A7E8FC8" w14:textId="77777777" w:rsidR="00E50BB8" w:rsidRPr="006B3C4A" w:rsidRDefault="00E50BB8" w:rsidP="00F24FAB">
      <w:pPr>
        <w:rPr>
          <w:rFonts w:ascii="Verdana" w:hAnsi="Verdana"/>
          <w:sz w:val="20"/>
          <w:szCs w:val="20"/>
        </w:rPr>
      </w:pPr>
      <w:r w:rsidRPr="006B3C4A">
        <w:rPr>
          <w:rFonts w:ascii="Verdana" w:hAnsi="Verdana"/>
          <w:sz w:val="20"/>
          <w:szCs w:val="20"/>
        </w:rPr>
        <w:t xml:space="preserve">To: </w:t>
      </w:r>
      <w:r>
        <w:rPr>
          <w:rFonts w:ascii="Verdana" w:hAnsi="Verdana"/>
          <w:sz w:val="20"/>
          <w:szCs w:val="20"/>
        </w:rPr>
        <w:t xml:space="preserve">Rosalind </w:t>
      </w:r>
      <w:proofErr w:type="spellStart"/>
      <w:r>
        <w:rPr>
          <w:rFonts w:ascii="Verdana" w:hAnsi="Verdana"/>
          <w:sz w:val="20"/>
          <w:szCs w:val="20"/>
        </w:rPr>
        <w:t>Timperley</w:t>
      </w:r>
      <w:proofErr w:type="spellEnd"/>
    </w:p>
    <w:p w14:paraId="245EAC2C" w14:textId="77777777" w:rsidR="00E50BB8" w:rsidRPr="006B3C4A" w:rsidRDefault="00E50BB8" w:rsidP="00F24FAB">
      <w:pPr>
        <w:rPr>
          <w:rFonts w:ascii="Verdana" w:hAnsi="Verdana"/>
          <w:sz w:val="20"/>
          <w:szCs w:val="20"/>
        </w:rPr>
      </w:pPr>
      <w:r w:rsidRPr="006B3C4A">
        <w:rPr>
          <w:rFonts w:ascii="Verdana" w:hAnsi="Verdana"/>
          <w:sz w:val="20"/>
          <w:szCs w:val="20"/>
        </w:rPr>
        <w:t xml:space="preserve">Email: </w:t>
      </w:r>
      <w:hyperlink r:id="rId8" w:history="1">
        <w:r w:rsidRPr="006B3C4A">
          <w:rPr>
            <w:rStyle w:val="Hyperlink"/>
            <w:rFonts w:ascii="Verdana" w:hAnsi="Verdana"/>
            <w:sz w:val="20"/>
            <w:szCs w:val="20"/>
          </w:rPr>
          <w:t>DCUSA@electralink.co.uk</w:t>
        </w:r>
      </w:hyperlink>
    </w:p>
    <w:p w14:paraId="5EFFD685" w14:textId="77777777" w:rsidR="00E50BB8" w:rsidRPr="006B3C4A" w:rsidRDefault="00E50BB8" w:rsidP="000A5C4E">
      <w:pPr>
        <w:rPr>
          <w:rFonts w:ascii="Verdana" w:hAnsi="Verdana"/>
          <w:sz w:val="20"/>
          <w:szCs w:val="20"/>
        </w:rPr>
      </w:pPr>
    </w:p>
    <w:p w14:paraId="17D5918C" w14:textId="77777777" w:rsidR="00E50BB8" w:rsidRPr="004868E6" w:rsidRDefault="00E50BB8" w:rsidP="000A5C4E">
      <w:pPr>
        <w:rPr>
          <w:rFonts w:ascii="Verdana" w:hAnsi="Verdana"/>
          <w:b/>
          <w:sz w:val="20"/>
          <w:szCs w:val="20"/>
        </w:rPr>
      </w:pPr>
      <w:r w:rsidRPr="004868E6">
        <w:rPr>
          <w:rFonts w:ascii="Verdana" w:hAnsi="Verdana"/>
          <w:b/>
          <w:sz w:val="20"/>
          <w:szCs w:val="20"/>
        </w:rPr>
        <w:t xml:space="preserve">Name: </w:t>
      </w:r>
      <w:r w:rsidRPr="00A0383C">
        <w:rPr>
          <w:rFonts w:ascii="Verdana" w:hAnsi="Verdana" w:cs="Arial"/>
          <w:b/>
          <w:color w:val="FF0000"/>
          <w:sz w:val="20"/>
          <w:szCs w:val="20"/>
        </w:rPr>
        <w:t>Franck Latrémolière</w:t>
      </w:r>
      <w:r w:rsidRPr="004868E6">
        <w:rPr>
          <w:rFonts w:ascii="Verdana" w:hAnsi="Verdana"/>
          <w:b/>
          <w:sz w:val="20"/>
          <w:szCs w:val="20"/>
        </w:rPr>
        <w:br/>
      </w:r>
    </w:p>
    <w:p w14:paraId="773D6A8B" w14:textId="77777777" w:rsidR="00E50BB8" w:rsidRPr="004868E6" w:rsidRDefault="00E50BB8" w:rsidP="000A5C4E">
      <w:pPr>
        <w:rPr>
          <w:rFonts w:ascii="Verdana" w:hAnsi="Verdana"/>
          <w:b/>
          <w:sz w:val="20"/>
          <w:szCs w:val="20"/>
        </w:rPr>
      </w:pPr>
      <w:r w:rsidRPr="004868E6">
        <w:rPr>
          <w:rFonts w:ascii="Verdana" w:hAnsi="Verdana"/>
          <w:b/>
          <w:sz w:val="20"/>
          <w:szCs w:val="20"/>
        </w:rPr>
        <w:t xml:space="preserve">Organisation: </w:t>
      </w:r>
      <w:r w:rsidRPr="00A0383C">
        <w:rPr>
          <w:rFonts w:ascii="Verdana" w:hAnsi="Verdana" w:cs="Arial"/>
          <w:b/>
          <w:color w:val="FF0000"/>
          <w:sz w:val="20"/>
          <w:szCs w:val="20"/>
        </w:rPr>
        <w:t>The unofficial DCMF website dcmf.co.uk</w:t>
      </w:r>
      <w:r w:rsidRPr="004868E6">
        <w:rPr>
          <w:rFonts w:ascii="Verdana" w:hAnsi="Verdana"/>
          <w:b/>
          <w:sz w:val="20"/>
          <w:szCs w:val="20"/>
        </w:rPr>
        <w:br/>
      </w:r>
    </w:p>
    <w:p w14:paraId="0A2D49AA" w14:textId="77777777" w:rsidR="00E50BB8" w:rsidRPr="004868E6" w:rsidRDefault="00E50BB8" w:rsidP="000A5C4E">
      <w:pPr>
        <w:rPr>
          <w:rFonts w:ascii="Verdana" w:hAnsi="Verdana"/>
          <w:b/>
          <w:sz w:val="20"/>
          <w:szCs w:val="20"/>
        </w:rPr>
      </w:pPr>
      <w:r w:rsidRPr="004868E6">
        <w:rPr>
          <w:rFonts w:ascii="Verdana" w:hAnsi="Verdana"/>
          <w:b/>
          <w:sz w:val="20"/>
          <w:szCs w:val="20"/>
        </w:rPr>
        <w:t>Role:</w:t>
      </w:r>
      <w:r>
        <w:rPr>
          <w:rFonts w:ascii="Verdana" w:hAnsi="Verdana"/>
          <w:sz w:val="20"/>
          <w:szCs w:val="20"/>
        </w:rPr>
        <w:t xml:space="preserve"> </w:t>
      </w:r>
      <w:r w:rsidRPr="00A0383C">
        <w:rPr>
          <w:rFonts w:ascii="Verdana" w:hAnsi="Verdana" w:cs="Arial"/>
          <w:b/>
          <w:color w:val="FF0000"/>
          <w:sz w:val="20"/>
          <w:szCs w:val="20"/>
        </w:rPr>
        <w:t>Other</w:t>
      </w:r>
      <w:r w:rsidRPr="006B3C4A">
        <w:rPr>
          <w:rFonts w:ascii="Verdana" w:hAnsi="Verdana"/>
          <w:sz w:val="20"/>
          <w:szCs w:val="20"/>
        </w:rPr>
        <w:br/>
      </w:r>
    </w:p>
    <w:p w14:paraId="066FB948" w14:textId="77777777" w:rsidR="00E50BB8" w:rsidRPr="004868E6" w:rsidRDefault="00E50BB8" w:rsidP="000A5C4E">
      <w:pPr>
        <w:rPr>
          <w:rFonts w:ascii="Verdana" w:hAnsi="Verdana"/>
          <w:b/>
          <w:sz w:val="20"/>
          <w:szCs w:val="20"/>
        </w:rPr>
      </w:pPr>
      <w:r w:rsidRPr="004868E6">
        <w:rPr>
          <w:rFonts w:ascii="Verdana" w:hAnsi="Verdana"/>
          <w:b/>
          <w:sz w:val="20"/>
          <w:szCs w:val="20"/>
        </w:rPr>
        <w:t xml:space="preserve">Email Address: </w:t>
      </w:r>
      <w:r w:rsidRPr="00A0383C">
        <w:rPr>
          <w:rFonts w:ascii="Verdana" w:hAnsi="Verdana" w:cs="Arial"/>
          <w:b/>
          <w:color w:val="FF0000"/>
          <w:sz w:val="20"/>
          <w:szCs w:val="20"/>
        </w:rPr>
        <w:t>editor@dcmf.co.uk</w:t>
      </w:r>
      <w:r w:rsidRPr="004868E6">
        <w:rPr>
          <w:rFonts w:ascii="Verdana" w:hAnsi="Verdana"/>
          <w:b/>
          <w:sz w:val="20"/>
          <w:szCs w:val="20"/>
        </w:rPr>
        <w:br/>
      </w:r>
    </w:p>
    <w:p w14:paraId="0723AD51" w14:textId="77777777" w:rsidR="00E50BB8" w:rsidRPr="004868E6" w:rsidRDefault="00E50BB8" w:rsidP="000A5C4E">
      <w:pPr>
        <w:rPr>
          <w:rFonts w:ascii="Verdana" w:hAnsi="Verdana"/>
          <w:b/>
          <w:sz w:val="20"/>
          <w:szCs w:val="20"/>
        </w:rPr>
      </w:pPr>
      <w:r w:rsidRPr="004868E6">
        <w:rPr>
          <w:rFonts w:ascii="Verdana" w:hAnsi="Verdana"/>
          <w:b/>
          <w:sz w:val="20"/>
          <w:szCs w:val="20"/>
        </w:rPr>
        <w:t xml:space="preserve">Phone Number: </w:t>
      </w:r>
      <w:r w:rsidRPr="00A0383C">
        <w:rPr>
          <w:rFonts w:ascii="Verdana" w:hAnsi="Verdana" w:cs="Arial"/>
          <w:b/>
          <w:color w:val="FF0000"/>
          <w:sz w:val="20"/>
          <w:szCs w:val="20"/>
        </w:rPr>
        <w:t>020 7841 5858</w:t>
      </w:r>
    </w:p>
    <w:p w14:paraId="7EBCABB4" w14:textId="77777777" w:rsidR="00E50BB8" w:rsidRDefault="00E50BB8" w:rsidP="000A5C4E">
      <w:pPr>
        <w:rPr>
          <w:rFonts w:ascii="Verdana" w:hAnsi="Verdana"/>
          <w:sz w:val="20"/>
          <w:szCs w:val="20"/>
        </w:rPr>
      </w:pPr>
    </w:p>
    <w:p w14:paraId="271409D5" w14:textId="77777777" w:rsidR="00E50BB8" w:rsidRPr="004868E6" w:rsidRDefault="00E50BB8" w:rsidP="00F24FAB">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E50BB8" w:rsidRPr="00CD1C97" w14:paraId="5002577F" w14:textId="77777777" w:rsidTr="002A0EEC">
        <w:trPr>
          <w:trHeight w:val="589"/>
        </w:trPr>
        <w:tc>
          <w:tcPr>
            <w:tcW w:w="8528" w:type="dxa"/>
            <w:shd w:val="clear" w:color="auto" w:fill="D9D9D9"/>
          </w:tcPr>
          <w:p w14:paraId="46CA0A84" w14:textId="77777777" w:rsidR="00E50BB8" w:rsidRPr="00775CA8" w:rsidRDefault="00E50BB8" w:rsidP="00775CA8">
            <w:pPr>
              <w:pStyle w:val="ListParagraph"/>
              <w:numPr>
                <w:ilvl w:val="0"/>
                <w:numId w:val="2"/>
              </w:numPr>
              <w:spacing w:before="120" w:after="120"/>
              <w:ind w:left="714" w:hanging="357"/>
              <w:rPr>
                <w:rFonts w:ascii="Verdana" w:hAnsi="Verdana" w:cs="Arial"/>
                <w:b/>
                <w:bCs/>
                <w:iCs/>
                <w:sz w:val="20"/>
                <w:szCs w:val="20"/>
              </w:rPr>
            </w:pPr>
            <w:r w:rsidRPr="00775CA8">
              <w:rPr>
                <w:rFonts w:ascii="Verdana" w:hAnsi="Verdana" w:cs="Arial"/>
                <w:b/>
                <w:bCs/>
                <w:iCs/>
                <w:sz w:val="20"/>
                <w:szCs w:val="20"/>
              </w:rPr>
              <w:t>Do you have any comments on the updated DCP 164 legal text?</w:t>
            </w:r>
          </w:p>
        </w:tc>
      </w:tr>
      <w:tr w:rsidR="00E50BB8" w:rsidRPr="00CD1C97" w14:paraId="1946887C" w14:textId="77777777" w:rsidTr="00DF62D5">
        <w:tc>
          <w:tcPr>
            <w:tcW w:w="8528" w:type="dxa"/>
          </w:tcPr>
          <w:p w14:paraId="04E39269" w14:textId="26CDE48D" w:rsidR="00E50BB8" w:rsidRDefault="00F435E5" w:rsidP="00F435E5">
            <w:pPr>
              <w:rPr>
                <w:rFonts w:ascii="Verdana" w:hAnsi="Verdana" w:cs="Arial"/>
                <w:b/>
                <w:color w:val="FF0000"/>
                <w:sz w:val="20"/>
                <w:szCs w:val="20"/>
              </w:rPr>
            </w:pPr>
            <w:r w:rsidRPr="00F435E5">
              <w:rPr>
                <w:rFonts w:ascii="Verdana" w:hAnsi="Verdana" w:cs="Arial"/>
                <w:b/>
                <w:color w:val="FF0000"/>
                <w:sz w:val="20"/>
                <w:szCs w:val="20"/>
              </w:rPr>
              <w:t xml:space="preserve">Paragraph 14.10 </w:t>
            </w:r>
            <w:r>
              <w:rPr>
                <w:rFonts w:ascii="Verdana" w:hAnsi="Verdana" w:cs="Arial"/>
                <w:b/>
                <w:color w:val="FF0000"/>
                <w:sz w:val="20"/>
                <w:szCs w:val="20"/>
              </w:rPr>
              <w:t xml:space="preserve">as drafted </w:t>
            </w:r>
            <w:r w:rsidRPr="00F435E5">
              <w:rPr>
                <w:rFonts w:ascii="Verdana" w:hAnsi="Verdana" w:cs="Arial"/>
                <w:b/>
                <w:color w:val="FF0000"/>
                <w:sz w:val="20"/>
                <w:szCs w:val="20"/>
              </w:rPr>
              <w:t xml:space="preserve">does not place any obligation on anybody to do anything that might </w:t>
            </w:r>
            <w:r w:rsidR="00921E75">
              <w:rPr>
                <w:rFonts w:ascii="Verdana" w:hAnsi="Verdana" w:cs="Arial"/>
                <w:b/>
                <w:color w:val="FF0000"/>
                <w:sz w:val="20"/>
                <w:szCs w:val="20"/>
              </w:rPr>
              <w:t>help meet the suggested deadlines</w:t>
            </w:r>
            <w:r>
              <w:rPr>
                <w:rFonts w:ascii="Verdana" w:hAnsi="Verdana" w:cs="Arial"/>
                <w:b/>
                <w:color w:val="FF0000"/>
                <w:sz w:val="20"/>
                <w:szCs w:val="20"/>
              </w:rPr>
              <w:t>. If the intent was to ask the P</w:t>
            </w:r>
            <w:r w:rsidRPr="00F435E5">
              <w:rPr>
                <w:rFonts w:ascii="Verdana" w:hAnsi="Verdana" w:cs="Arial"/>
                <w:b/>
                <w:color w:val="FF0000"/>
                <w:sz w:val="20"/>
                <w:szCs w:val="20"/>
              </w:rPr>
              <w:t xml:space="preserve">anel to arrange for </w:t>
            </w:r>
            <w:r w:rsidR="00921E75" w:rsidRPr="00F435E5">
              <w:rPr>
                <w:rFonts w:ascii="Verdana" w:hAnsi="Verdana" w:cs="Arial"/>
                <w:b/>
                <w:color w:val="FF0000"/>
                <w:sz w:val="20"/>
                <w:szCs w:val="20"/>
              </w:rPr>
              <w:t xml:space="preserve">decisions </w:t>
            </w:r>
            <w:r w:rsidR="00921E75">
              <w:rPr>
                <w:rFonts w:ascii="Verdana" w:hAnsi="Verdana" w:cs="Arial"/>
                <w:b/>
                <w:color w:val="FF0000"/>
                <w:sz w:val="20"/>
                <w:szCs w:val="20"/>
              </w:rPr>
              <w:t xml:space="preserve">on </w:t>
            </w:r>
            <w:r w:rsidRPr="00F435E5">
              <w:rPr>
                <w:rFonts w:ascii="Verdana" w:hAnsi="Verdana" w:cs="Arial"/>
                <w:b/>
                <w:color w:val="FF0000"/>
                <w:sz w:val="20"/>
                <w:szCs w:val="20"/>
              </w:rPr>
              <w:t xml:space="preserve">change proposal to be </w:t>
            </w:r>
            <w:r>
              <w:rPr>
                <w:rFonts w:ascii="Verdana" w:hAnsi="Verdana" w:cs="Arial"/>
                <w:b/>
                <w:color w:val="FF0000"/>
                <w:sz w:val="20"/>
                <w:szCs w:val="20"/>
              </w:rPr>
              <w:t xml:space="preserve">made </w:t>
            </w:r>
            <w:r w:rsidRPr="00F435E5">
              <w:rPr>
                <w:rFonts w:ascii="Verdana" w:hAnsi="Verdana" w:cs="Arial"/>
                <w:b/>
                <w:color w:val="FF0000"/>
                <w:sz w:val="20"/>
                <w:szCs w:val="20"/>
              </w:rPr>
              <w:t>in time, then the w</w:t>
            </w:r>
            <w:r>
              <w:rPr>
                <w:rFonts w:ascii="Verdana" w:hAnsi="Verdana" w:cs="Arial"/>
                <w:b/>
                <w:color w:val="FF0000"/>
                <w:sz w:val="20"/>
                <w:szCs w:val="20"/>
              </w:rPr>
              <w:t>ords should say so: "14.10 The P</w:t>
            </w:r>
            <w:r w:rsidRPr="00F435E5">
              <w:rPr>
                <w:rFonts w:ascii="Verdana" w:hAnsi="Verdana" w:cs="Arial"/>
                <w:b/>
                <w:color w:val="FF0000"/>
                <w:sz w:val="20"/>
                <w:szCs w:val="20"/>
              </w:rPr>
              <w:t>anel shall end</w:t>
            </w:r>
            <w:r>
              <w:rPr>
                <w:rFonts w:ascii="Verdana" w:hAnsi="Verdana" w:cs="Arial"/>
                <w:b/>
                <w:color w:val="FF0000"/>
                <w:sz w:val="20"/>
                <w:szCs w:val="20"/>
              </w:rPr>
              <w:t>eavour to secure that, for any Change P</w:t>
            </w:r>
            <w:r w:rsidRPr="00F435E5">
              <w:rPr>
                <w:rFonts w:ascii="Verdana" w:hAnsi="Verdana" w:cs="Arial"/>
                <w:b/>
                <w:color w:val="FF0000"/>
                <w:sz w:val="20"/>
                <w:szCs w:val="20"/>
              </w:rPr>
              <w:t>roposal whose implementation would require a change to a DCUSA model, the implementation date is such that a decision on the change proposal is scheduled to have been made 90 days before the minimum notice period for the publication (as defined in the Distribution Licence) of the first set of charges affected by the change. For the purpose of complying with this requ</w:t>
            </w:r>
            <w:r>
              <w:rPr>
                <w:rFonts w:ascii="Verdana" w:hAnsi="Verdana" w:cs="Arial"/>
                <w:b/>
                <w:color w:val="FF0000"/>
                <w:sz w:val="20"/>
                <w:szCs w:val="20"/>
              </w:rPr>
              <w:t>irement, the P</w:t>
            </w:r>
            <w:r w:rsidRPr="00F435E5">
              <w:rPr>
                <w:rFonts w:ascii="Verdana" w:hAnsi="Verdana" w:cs="Arial"/>
                <w:b/>
                <w:color w:val="FF0000"/>
                <w:sz w:val="20"/>
                <w:szCs w:val="20"/>
              </w:rPr>
              <w:t>anel may rely on any target timescales for decisions published by the Authority."</w:t>
            </w:r>
          </w:p>
          <w:p w14:paraId="29746F82" w14:textId="77777777" w:rsidR="00F435E5" w:rsidRDefault="00F435E5" w:rsidP="00F435E5">
            <w:pPr>
              <w:rPr>
                <w:rFonts w:ascii="Verdana" w:hAnsi="Verdana" w:cs="Arial"/>
                <w:b/>
                <w:color w:val="FF0000"/>
                <w:sz w:val="20"/>
                <w:szCs w:val="20"/>
              </w:rPr>
            </w:pPr>
          </w:p>
          <w:p w14:paraId="72E68BE4" w14:textId="366F2006" w:rsidR="00F435E5" w:rsidRDefault="00F435E5" w:rsidP="00F435E5">
            <w:pPr>
              <w:rPr>
                <w:rFonts w:ascii="Verdana" w:hAnsi="Verdana" w:cs="Arial"/>
                <w:b/>
                <w:color w:val="FF0000"/>
                <w:sz w:val="20"/>
                <w:szCs w:val="20"/>
              </w:rPr>
            </w:pPr>
            <w:r w:rsidRPr="00F435E5">
              <w:rPr>
                <w:rFonts w:ascii="Verdana" w:hAnsi="Verdana" w:cs="Arial"/>
                <w:b/>
                <w:color w:val="FF0000"/>
                <w:sz w:val="20"/>
                <w:szCs w:val="20"/>
              </w:rPr>
              <w:t>Paragraph 14.11</w:t>
            </w:r>
            <w:r w:rsidR="00E14C15">
              <w:rPr>
                <w:rFonts w:ascii="Verdana" w:hAnsi="Verdana" w:cs="Arial"/>
                <w:b/>
                <w:color w:val="FF0000"/>
                <w:sz w:val="20"/>
                <w:szCs w:val="20"/>
              </w:rPr>
              <w:t xml:space="preserve"> as drafted</w:t>
            </w:r>
            <w:r w:rsidRPr="00F435E5">
              <w:rPr>
                <w:rFonts w:ascii="Verdana" w:hAnsi="Verdana" w:cs="Arial"/>
                <w:b/>
                <w:color w:val="FF0000"/>
                <w:sz w:val="20"/>
                <w:szCs w:val="20"/>
              </w:rPr>
              <w:t xml:space="preserve"> seems to try to tell DNOs how to comply with their licence obligations. This is outside the scope of DCUSA.  If the intent was to </w:t>
            </w:r>
            <w:r>
              <w:rPr>
                <w:rFonts w:ascii="Verdana" w:hAnsi="Verdana" w:cs="Arial"/>
                <w:b/>
                <w:color w:val="FF0000"/>
                <w:sz w:val="20"/>
                <w:szCs w:val="20"/>
              </w:rPr>
              <w:t>ask</w:t>
            </w:r>
            <w:r w:rsidRPr="00F435E5">
              <w:rPr>
                <w:rFonts w:ascii="Verdana" w:hAnsi="Verdana" w:cs="Arial"/>
                <w:b/>
                <w:color w:val="FF0000"/>
                <w:sz w:val="20"/>
                <w:szCs w:val="20"/>
              </w:rPr>
              <w:t xml:space="preserve"> </w:t>
            </w:r>
            <w:r>
              <w:rPr>
                <w:rFonts w:ascii="Verdana" w:hAnsi="Verdana" w:cs="Arial"/>
                <w:b/>
                <w:color w:val="FF0000"/>
                <w:sz w:val="20"/>
                <w:szCs w:val="20"/>
              </w:rPr>
              <w:t xml:space="preserve">that the Panel and DNOs, between them, produce suitable models and use them for the </w:t>
            </w:r>
            <w:r w:rsidRPr="00F435E5">
              <w:rPr>
                <w:rFonts w:ascii="Verdana" w:hAnsi="Verdana" w:cs="Arial"/>
                <w:b/>
                <w:color w:val="FF0000"/>
                <w:sz w:val="20"/>
                <w:szCs w:val="20"/>
              </w:rPr>
              <w:t>publication</w:t>
            </w:r>
            <w:r>
              <w:rPr>
                <w:rFonts w:ascii="Verdana" w:hAnsi="Verdana" w:cs="Arial"/>
                <w:b/>
                <w:color w:val="FF0000"/>
                <w:sz w:val="20"/>
                <w:szCs w:val="20"/>
              </w:rPr>
              <w:t xml:space="preserve"> of indicative charges, then </w:t>
            </w:r>
            <w:r w:rsidRPr="00F435E5">
              <w:rPr>
                <w:rFonts w:ascii="Verdana" w:hAnsi="Verdana" w:cs="Arial"/>
                <w:b/>
                <w:color w:val="FF0000"/>
                <w:sz w:val="20"/>
                <w:szCs w:val="20"/>
              </w:rPr>
              <w:t>the words should say so: "</w:t>
            </w:r>
            <w:r>
              <w:rPr>
                <w:rFonts w:ascii="Verdana" w:hAnsi="Verdana" w:cs="Arial"/>
                <w:b/>
                <w:color w:val="FF0000"/>
                <w:sz w:val="20"/>
                <w:szCs w:val="20"/>
              </w:rPr>
              <w:t>14.11 Where a Change Proposal require a charging model published by the Panel to be modified, t</w:t>
            </w:r>
            <w:r w:rsidRPr="00F435E5">
              <w:rPr>
                <w:rFonts w:ascii="Verdana" w:hAnsi="Verdana" w:cs="Arial"/>
                <w:b/>
                <w:color w:val="FF0000"/>
                <w:sz w:val="20"/>
                <w:szCs w:val="20"/>
              </w:rPr>
              <w:t xml:space="preserve">he Panel shall </w:t>
            </w:r>
            <w:r w:rsidR="00EA479E">
              <w:rPr>
                <w:rFonts w:ascii="Verdana" w:hAnsi="Verdana" w:cs="Arial"/>
                <w:b/>
                <w:color w:val="FF0000"/>
                <w:sz w:val="20"/>
                <w:szCs w:val="20"/>
              </w:rPr>
              <w:t xml:space="preserve">use all reasonable endeavours to </w:t>
            </w:r>
            <w:r w:rsidRPr="00F435E5">
              <w:rPr>
                <w:rFonts w:ascii="Verdana" w:hAnsi="Verdana" w:cs="Arial"/>
                <w:b/>
                <w:color w:val="FF0000"/>
                <w:sz w:val="20"/>
                <w:szCs w:val="20"/>
              </w:rPr>
              <w:t xml:space="preserve">publish </w:t>
            </w:r>
            <w:r>
              <w:rPr>
                <w:rFonts w:ascii="Verdana" w:hAnsi="Verdana" w:cs="Arial"/>
                <w:b/>
                <w:color w:val="FF0000"/>
                <w:sz w:val="20"/>
                <w:szCs w:val="20"/>
              </w:rPr>
              <w:t>P</w:t>
            </w:r>
            <w:r w:rsidRPr="00F435E5">
              <w:rPr>
                <w:rFonts w:ascii="Verdana" w:hAnsi="Verdana" w:cs="Arial"/>
                <w:b/>
                <w:color w:val="FF0000"/>
                <w:sz w:val="20"/>
                <w:szCs w:val="20"/>
              </w:rPr>
              <w:t xml:space="preserve">re-release </w:t>
            </w:r>
            <w:r>
              <w:rPr>
                <w:rFonts w:ascii="Verdana" w:hAnsi="Verdana" w:cs="Arial"/>
                <w:b/>
                <w:color w:val="FF0000"/>
                <w:sz w:val="20"/>
                <w:szCs w:val="20"/>
              </w:rPr>
              <w:t>M</w:t>
            </w:r>
            <w:r w:rsidRPr="00F435E5">
              <w:rPr>
                <w:rFonts w:ascii="Verdana" w:hAnsi="Verdana" w:cs="Arial"/>
                <w:b/>
                <w:color w:val="FF0000"/>
                <w:sz w:val="20"/>
                <w:szCs w:val="20"/>
              </w:rPr>
              <w:t>odels suitable for calculating charges at least 50 days before the minimum notice period for the publication (as defined in the Distribution Licence) of the first set of charges affected by the change</w:t>
            </w:r>
            <w:r>
              <w:rPr>
                <w:rFonts w:ascii="Verdana" w:hAnsi="Verdana" w:cs="Arial"/>
                <w:b/>
                <w:color w:val="FF0000"/>
                <w:sz w:val="20"/>
                <w:szCs w:val="20"/>
              </w:rPr>
              <w:t>.  Where</w:t>
            </w:r>
            <w:r w:rsidR="00EA479E">
              <w:rPr>
                <w:rFonts w:ascii="Verdana" w:hAnsi="Verdana" w:cs="Arial"/>
                <w:b/>
                <w:color w:val="FF0000"/>
                <w:sz w:val="20"/>
                <w:szCs w:val="20"/>
              </w:rPr>
              <w:t>ver</w:t>
            </w:r>
            <w:r>
              <w:rPr>
                <w:rFonts w:ascii="Verdana" w:hAnsi="Verdana" w:cs="Arial"/>
                <w:b/>
                <w:color w:val="FF0000"/>
                <w:sz w:val="20"/>
                <w:szCs w:val="20"/>
              </w:rPr>
              <w:t xml:space="preserve"> a DNO Party is required to populate and publish </w:t>
            </w:r>
            <w:r w:rsidR="00E14C15">
              <w:rPr>
                <w:rFonts w:ascii="Verdana" w:hAnsi="Verdana" w:cs="Arial"/>
                <w:b/>
                <w:color w:val="FF0000"/>
                <w:sz w:val="20"/>
                <w:szCs w:val="20"/>
              </w:rPr>
              <w:t xml:space="preserve">a charging model, the DNO Party shall, with each publication of its charges as defined in the Distribution Licence, populate and publish the </w:t>
            </w:r>
            <w:r w:rsidR="00EA479E">
              <w:rPr>
                <w:rFonts w:ascii="Verdana" w:hAnsi="Verdana" w:cs="Arial"/>
                <w:b/>
                <w:color w:val="FF0000"/>
                <w:sz w:val="20"/>
                <w:szCs w:val="20"/>
              </w:rPr>
              <w:t xml:space="preserve">most recent model or </w:t>
            </w:r>
            <w:r w:rsidR="00E14C15">
              <w:rPr>
                <w:rFonts w:ascii="Verdana" w:hAnsi="Verdana" w:cs="Arial"/>
                <w:b/>
                <w:color w:val="FF0000"/>
                <w:sz w:val="20"/>
                <w:szCs w:val="20"/>
              </w:rPr>
              <w:t>Pre-release Model</w:t>
            </w:r>
            <w:r w:rsidR="00EA479E">
              <w:rPr>
                <w:rFonts w:ascii="Verdana" w:hAnsi="Verdana" w:cs="Arial"/>
                <w:b/>
                <w:color w:val="FF0000"/>
                <w:sz w:val="20"/>
                <w:szCs w:val="20"/>
              </w:rPr>
              <w:t xml:space="preserve"> that was</w:t>
            </w:r>
            <w:r w:rsidR="00E14C15">
              <w:rPr>
                <w:rFonts w:ascii="Verdana" w:hAnsi="Verdana" w:cs="Arial"/>
                <w:b/>
                <w:color w:val="FF0000"/>
                <w:sz w:val="20"/>
                <w:szCs w:val="20"/>
              </w:rPr>
              <w:t xml:space="preserve"> available 50 days before the </w:t>
            </w:r>
            <w:r w:rsidR="00E14C15" w:rsidRPr="00F435E5">
              <w:rPr>
                <w:rFonts w:ascii="Verdana" w:hAnsi="Verdana" w:cs="Arial"/>
                <w:b/>
                <w:color w:val="FF0000"/>
                <w:sz w:val="20"/>
                <w:szCs w:val="20"/>
              </w:rPr>
              <w:t xml:space="preserve">minimum notice period for </w:t>
            </w:r>
            <w:r w:rsidR="00E14C15">
              <w:rPr>
                <w:rFonts w:ascii="Verdana" w:hAnsi="Verdana" w:cs="Arial"/>
                <w:b/>
                <w:color w:val="FF0000"/>
                <w:sz w:val="20"/>
                <w:szCs w:val="20"/>
              </w:rPr>
              <w:t>that</w:t>
            </w:r>
            <w:r w:rsidR="00E14C15" w:rsidRPr="00F435E5">
              <w:rPr>
                <w:rFonts w:ascii="Verdana" w:hAnsi="Verdana" w:cs="Arial"/>
                <w:b/>
                <w:color w:val="FF0000"/>
                <w:sz w:val="20"/>
                <w:szCs w:val="20"/>
              </w:rPr>
              <w:t xml:space="preserve"> publication</w:t>
            </w:r>
            <w:r w:rsidR="00E14C15">
              <w:rPr>
                <w:rFonts w:ascii="Verdana" w:hAnsi="Verdana" w:cs="Arial"/>
                <w:b/>
                <w:color w:val="FF0000"/>
                <w:sz w:val="20"/>
                <w:szCs w:val="20"/>
              </w:rPr>
              <w:t>.</w:t>
            </w:r>
            <w:r w:rsidRPr="00F435E5">
              <w:rPr>
                <w:rFonts w:ascii="Verdana" w:hAnsi="Verdana" w:cs="Arial"/>
                <w:b/>
                <w:color w:val="FF0000"/>
                <w:sz w:val="20"/>
                <w:szCs w:val="20"/>
              </w:rPr>
              <w:t>"</w:t>
            </w:r>
          </w:p>
          <w:p w14:paraId="1191967A" w14:textId="77777777" w:rsidR="00F435E5" w:rsidRPr="00F435E5" w:rsidRDefault="00F435E5" w:rsidP="00E14C15">
            <w:pPr>
              <w:rPr>
                <w:rFonts w:ascii="Verdana" w:hAnsi="Verdana" w:cs="Arial"/>
                <w:b/>
                <w:color w:val="FF0000"/>
                <w:sz w:val="20"/>
                <w:szCs w:val="20"/>
              </w:rPr>
            </w:pPr>
          </w:p>
        </w:tc>
      </w:tr>
    </w:tbl>
    <w:p w14:paraId="41EEBF6F" w14:textId="77777777" w:rsidR="00E50BB8" w:rsidRPr="00CD1C97" w:rsidRDefault="00E50BB8" w:rsidP="00F435E5">
      <w:pPr>
        <w:spacing w:before="240" w:afterLines="60" w:after="144" w:line="360" w:lineRule="auto"/>
        <w:rPr>
          <w:rFonts w:ascii="Verdana" w:hAnsi="Verdana"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E50BB8" w:rsidRPr="00CD1C97" w14:paraId="5D466453" w14:textId="77777777" w:rsidTr="002A0EEC">
        <w:tc>
          <w:tcPr>
            <w:tcW w:w="8528" w:type="dxa"/>
            <w:shd w:val="clear" w:color="auto" w:fill="D9D9D9"/>
          </w:tcPr>
          <w:p w14:paraId="7F32DC9D" w14:textId="77777777" w:rsidR="00E50BB8" w:rsidRPr="00775CA8" w:rsidRDefault="00E50BB8" w:rsidP="00775CA8">
            <w:pPr>
              <w:pStyle w:val="ListParagraph"/>
              <w:numPr>
                <w:ilvl w:val="0"/>
                <w:numId w:val="2"/>
              </w:numPr>
              <w:spacing w:before="120" w:after="120"/>
              <w:ind w:left="714" w:hanging="357"/>
              <w:rPr>
                <w:rFonts w:ascii="Verdana" w:hAnsi="Verdana" w:cs="Arial"/>
                <w:b/>
                <w:bCs/>
                <w:iCs/>
                <w:sz w:val="20"/>
                <w:szCs w:val="20"/>
              </w:rPr>
            </w:pPr>
            <w:r w:rsidRPr="00775CA8">
              <w:rPr>
                <w:rFonts w:ascii="Verdana" w:hAnsi="Verdana" w:cs="Arial"/>
                <w:b/>
                <w:bCs/>
                <w:iCs/>
                <w:sz w:val="20"/>
                <w:szCs w:val="20"/>
              </w:rPr>
              <w:t>Do you agree that an alternative change proposal should be raised which would differ from the DCP 164 solution by the inclusion of legal text paragraph 14.12 (i.e. the text shown in blue in Appendix B)?</w:t>
            </w:r>
          </w:p>
        </w:tc>
      </w:tr>
      <w:tr w:rsidR="00E50BB8" w:rsidRPr="00CD1C97" w14:paraId="59BA4207" w14:textId="77777777" w:rsidTr="00964E7F">
        <w:trPr>
          <w:trHeight w:val="1611"/>
        </w:trPr>
        <w:tc>
          <w:tcPr>
            <w:tcW w:w="8528" w:type="dxa"/>
          </w:tcPr>
          <w:p w14:paraId="7083B691" w14:textId="77777777" w:rsidR="00E14C15" w:rsidRDefault="00E14C15" w:rsidP="00E14C15">
            <w:pPr>
              <w:rPr>
                <w:rFonts w:ascii="Verdana" w:hAnsi="Verdana" w:cs="Arial"/>
                <w:b/>
                <w:color w:val="FF0000"/>
                <w:sz w:val="20"/>
                <w:szCs w:val="20"/>
              </w:rPr>
            </w:pPr>
            <w:r>
              <w:rPr>
                <w:rFonts w:ascii="Verdana" w:hAnsi="Verdana" w:cs="Arial"/>
                <w:b/>
                <w:color w:val="FF0000"/>
                <w:sz w:val="20"/>
                <w:szCs w:val="20"/>
              </w:rPr>
              <w:lastRenderedPageBreak/>
              <w:t>Paragraph 14.12 as drafted relies on the term “pricing period”, which does not seem to be defined or to have an unambiguous meaning.  It also appears to try to override Authority decisions on implementation dates, which is presumably ineffective.</w:t>
            </w:r>
          </w:p>
          <w:p w14:paraId="07FFC088" w14:textId="77777777" w:rsidR="00E14C15" w:rsidRDefault="00E14C15" w:rsidP="00E14C15">
            <w:pPr>
              <w:rPr>
                <w:rFonts w:ascii="Verdana" w:hAnsi="Verdana" w:cs="Arial"/>
                <w:b/>
                <w:color w:val="FF0000"/>
                <w:sz w:val="20"/>
                <w:szCs w:val="20"/>
              </w:rPr>
            </w:pPr>
          </w:p>
          <w:p w14:paraId="7989CB96" w14:textId="602C5D2B" w:rsidR="00E14C15" w:rsidRPr="00F435E5" w:rsidRDefault="00E14C15" w:rsidP="00E14C15">
            <w:pPr>
              <w:rPr>
                <w:rFonts w:ascii="Verdana" w:hAnsi="Verdana" w:cs="Arial"/>
                <w:b/>
                <w:color w:val="FF0000"/>
                <w:sz w:val="20"/>
                <w:szCs w:val="20"/>
              </w:rPr>
            </w:pPr>
            <w:r>
              <w:rPr>
                <w:rFonts w:ascii="Verdana" w:hAnsi="Verdana" w:cs="Arial"/>
                <w:b/>
                <w:color w:val="FF0000"/>
                <w:sz w:val="20"/>
                <w:szCs w:val="20"/>
              </w:rPr>
              <w:t>If the intent was to extend the paragraph 14.10 restriction on implementation date</w:t>
            </w:r>
            <w:r w:rsidR="00EA479E">
              <w:rPr>
                <w:rFonts w:ascii="Verdana" w:hAnsi="Verdana" w:cs="Arial"/>
                <w:b/>
                <w:color w:val="FF0000"/>
                <w:sz w:val="20"/>
                <w:szCs w:val="20"/>
              </w:rPr>
              <w:t>s</w:t>
            </w:r>
            <w:r>
              <w:rPr>
                <w:rFonts w:ascii="Verdana" w:hAnsi="Verdana" w:cs="Arial"/>
                <w:b/>
                <w:color w:val="FF0000"/>
                <w:sz w:val="20"/>
                <w:szCs w:val="20"/>
              </w:rPr>
              <w:t xml:space="preserve"> to changes that affect charges but do not affect the model, then this alternative intent might be achieved with a modified version of paragraph 14.10 along the lines of: "14.10 The P</w:t>
            </w:r>
            <w:r w:rsidRPr="00F435E5">
              <w:rPr>
                <w:rFonts w:ascii="Verdana" w:hAnsi="Verdana" w:cs="Arial"/>
                <w:b/>
                <w:color w:val="FF0000"/>
                <w:sz w:val="20"/>
                <w:szCs w:val="20"/>
              </w:rPr>
              <w:t>anel shall end</w:t>
            </w:r>
            <w:r>
              <w:rPr>
                <w:rFonts w:ascii="Verdana" w:hAnsi="Verdana" w:cs="Arial"/>
                <w:b/>
                <w:color w:val="FF0000"/>
                <w:sz w:val="20"/>
                <w:szCs w:val="20"/>
              </w:rPr>
              <w:t>eavour to secure that, for any Change P</w:t>
            </w:r>
            <w:r w:rsidRPr="00F435E5">
              <w:rPr>
                <w:rFonts w:ascii="Verdana" w:hAnsi="Verdana" w:cs="Arial"/>
                <w:b/>
                <w:color w:val="FF0000"/>
                <w:sz w:val="20"/>
                <w:szCs w:val="20"/>
              </w:rPr>
              <w:t xml:space="preserve">roposal </w:t>
            </w:r>
            <w:r>
              <w:rPr>
                <w:rFonts w:ascii="Verdana" w:hAnsi="Verdana" w:cs="Arial"/>
                <w:b/>
                <w:color w:val="FF0000"/>
                <w:sz w:val="20"/>
                <w:szCs w:val="20"/>
              </w:rPr>
              <w:t xml:space="preserve">that affects Schedule 16, Schedule 17 or Schedule 18, or </w:t>
            </w:r>
            <w:r w:rsidRPr="00F435E5">
              <w:rPr>
                <w:rFonts w:ascii="Verdana" w:hAnsi="Verdana" w:cs="Arial"/>
                <w:b/>
                <w:color w:val="FF0000"/>
                <w:sz w:val="20"/>
                <w:szCs w:val="20"/>
              </w:rPr>
              <w:t>whose implementation would require a change to a DCUSA model, the implementation date is such that a decision on the change proposal is scheduled to have been made 90 days before the minimum notice period for the publication (as defined in the Distribution Licence) of the first set of charges affected by the change. For the purpose of complying with this requ</w:t>
            </w:r>
            <w:r>
              <w:rPr>
                <w:rFonts w:ascii="Verdana" w:hAnsi="Verdana" w:cs="Arial"/>
                <w:b/>
                <w:color w:val="FF0000"/>
                <w:sz w:val="20"/>
                <w:szCs w:val="20"/>
              </w:rPr>
              <w:t>irement, the P</w:t>
            </w:r>
            <w:r w:rsidRPr="00F435E5">
              <w:rPr>
                <w:rFonts w:ascii="Verdana" w:hAnsi="Verdana" w:cs="Arial"/>
                <w:b/>
                <w:color w:val="FF0000"/>
                <w:sz w:val="20"/>
                <w:szCs w:val="20"/>
              </w:rPr>
              <w:t>anel may rely on any target timescales for decisions published by the Authority."</w:t>
            </w:r>
          </w:p>
          <w:p w14:paraId="365443D0" w14:textId="77777777" w:rsidR="00E14C15" w:rsidRPr="00CD1C97" w:rsidRDefault="00E14C15" w:rsidP="00E14C15">
            <w:pPr>
              <w:rPr>
                <w:rFonts w:ascii="Verdana" w:hAnsi="Verdana" w:cs="Arial"/>
                <w:b/>
                <w:color w:val="FF0000"/>
                <w:sz w:val="20"/>
                <w:szCs w:val="20"/>
              </w:rPr>
            </w:pPr>
          </w:p>
        </w:tc>
      </w:tr>
    </w:tbl>
    <w:p w14:paraId="5983DA9C" w14:textId="77777777" w:rsidR="00E50BB8" w:rsidRDefault="00E50BB8" w:rsidP="00F24FAB">
      <w:pPr>
        <w:spacing w:after="120"/>
        <w:rPr>
          <w:rFonts w:ascii="Verdana" w:hAnsi="Verdana" w:cs="Arial"/>
          <w:b/>
          <w:color w:val="FF0000"/>
          <w:sz w:val="20"/>
          <w:szCs w:val="20"/>
        </w:rPr>
      </w:pPr>
    </w:p>
    <w:p w14:paraId="32668B3C" w14:textId="77777777" w:rsidR="00E50BB8" w:rsidRDefault="00E50BB8" w:rsidP="00F24FAB">
      <w:pPr>
        <w:spacing w:after="120"/>
        <w:rPr>
          <w:rFonts w:ascii="Verdana" w:hAnsi="Verdana"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E50BB8" w:rsidRPr="00CD1C97" w14:paraId="27DF0DE7" w14:textId="77777777" w:rsidTr="00FE739B">
        <w:tc>
          <w:tcPr>
            <w:tcW w:w="8528" w:type="dxa"/>
            <w:shd w:val="clear" w:color="auto" w:fill="D9D9D9"/>
          </w:tcPr>
          <w:p w14:paraId="22F83A3D" w14:textId="77777777" w:rsidR="00E50BB8" w:rsidRPr="00775CA8" w:rsidRDefault="00E50BB8" w:rsidP="00775CA8">
            <w:pPr>
              <w:pStyle w:val="ListParagraph"/>
              <w:numPr>
                <w:ilvl w:val="0"/>
                <w:numId w:val="2"/>
              </w:numPr>
              <w:spacing w:before="120" w:after="120"/>
              <w:ind w:left="714" w:hanging="357"/>
              <w:rPr>
                <w:rFonts w:ascii="Verdana" w:hAnsi="Verdana" w:cs="Arial"/>
                <w:b/>
                <w:bCs/>
                <w:iCs/>
                <w:sz w:val="20"/>
                <w:szCs w:val="20"/>
              </w:rPr>
            </w:pPr>
            <w:r w:rsidRPr="00775CA8">
              <w:rPr>
                <w:rFonts w:ascii="Verdana" w:hAnsi="Verdana" w:cs="Arial"/>
                <w:b/>
                <w:bCs/>
                <w:iCs/>
                <w:sz w:val="20"/>
                <w:szCs w:val="20"/>
              </w:rPr>
              <w:t>If a DCP 164 alternative were to be raised to apply to the model inputs as well as the models would your preference be for the original CP or the alternative to be implemented?</w:t>
            </w:r>
          </w:p>
        </w:tc>
      </w:tr>
      <w:tr w:rsidR="00E50BB8" w:rsidRPr="00CD1C97" w14:paraId="331487F0" w14:textId="77777777" w:rsidTr="0041231B">
        <w:trPr>
          <w:trHeight w:val="647"/>
        </w:trPr>
        <w:tc>
          <w:tcPr>
            <w:tcW w:w="8528" w:type="dxa"/>
          </w:tcPr>
          <w:p w14:paraId="3325254B" w14:textId="77777777" w:rsidR="00E14C15" w:rsidRPr="00CD1C97" w:rsidRDefault="00E14C15" w:rsidP="0041231B">
            <w:pPr>
              <w:spacing w:after="120"/>
              <w:jc w:val="both"/>
              <w:rPr>
                <w:rFonts w:ascii="Verdana" w:hAnsi="Verdana" w:cs="Arial"/>
                <w:b/>
                <w:color w:val="FF0000"/>
                <w:sz w:val="20"/>
                <w:szCs w:val="20"/>
              </w:rPr>
            </w:pPr>
            <w:r w:rsidRPr="00E14C15">
              <w:rPr>
                <w:rFonts w:ascii="Verdana" w:hAnsi="Verdana" w:cs="Arial"/>
                <w:b/>
                <w:color w:val="FF0000"/>
                <w:sz w:val="20"/>
                <w:szCs w:val="20"/>
              </w:rPr>
              <w:t xml:space="preserve">I would favour something that </w:t>
            </w:r>
            <w:r w:rsidR="0041231B">
              <w:rPr>
                <w:rFonts w:ascii="Verdana" w:hAnsi="Verdana" w:cs="Arial"/>
                <w:b/>
                <w:color w:val="FF0000"/>
                <w:sz w:val="20"/>
                <w:szCs w:val="20"/>
              </w:rPr>
              <w:t xml:space="preserve">applies the same notice requirements to </w:t>
            </w:r>
            <w:r w:rsidRPr="00E14C15">
              <w:rPr>
                <w:rFonts w:ascii="Verdana" w:hAnsi="Verdana" w:cs="Arial"/>
                <w:b/>
                <w:color w:val="FF0000"/>
                <w:sz w:val="20"/>
                <w:szCs w:val="20"/>
              </w:rPr>
              <w:t>methodology changes irrespective of whether they affect any models.</w:t>
            </w:r>
          </w:p>
        </w:tc>
      </w:tr>
    </w:tbl>
    <w:p w14:paraId="35AFC5EC" w14:textId="77777777" w:rsidR="00E50BB8" w:rsidRDefault="00E50BB8" w:rsidP="00F24FAB">
      <w:pPr>
        <w:spacing w:after="120"/>
        <w:rPr>
          <w:rFonts w:ascii="Verdana" w:hAnsi="Verdana" w:cs="Arial"/>
          <w:b/>
          <w:color w:val="FF0000"/>
          <w:sz w:val="20"/>
          <w:szCs w:val="20"/>
        </w:rPr>
      </w:pPr>
    </w:p>
    <w:p w14:paraId="3348D05E" w14:textId="77777777" w:rsidR="00E50BB8" w:rsidRDefault="00E50BB8" w:rsidP="00F24FAB">
      <w:pPr>
        <w:spacing w:after="120"/>
        <w:rPr>
          <w:rFonts w:ascii="Verdana" w:hAnsi="Verdana"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E50BB8" w:rsidRPr="00CD1C97" w14:paraId="275693EC" w14:textId="77777777" w:rsidTr="00FE739B">
        <w:tc>
          <w:tcPr>
            <w:tcW w:w="8528" w:type="dxa"/>
            <w:shd w:val="clear" w:color="auto" w:fill="D9D9D9"/>
          </w:tcPr>
          <w:p w14:paraId="0B6E73A1" w14:textId="77777777" w:rsidR="00E50BB8" w:rsidRPr="00775CA8" w:rsidRDefault="00E50BB8" w:rsidP="00775CA8">
            <w:pPr>
              <w:pStyle w:val="ListParagraph"/>
              <w:numPr>
                <w:ilvl w:val="0"/>
                <w:numId w:val="2"/>
              </w:numPr>
              <w:spacing w:before="120" w:after="120"/>
              <w:ind w:left="714" w:hanging="357"/>
              <w:rPr>
                <w:rFonts w:ascii="Verdana" w:hAnsi="Verdana" w:cs="Arial"/>
                <w:b/>
                <w:bCs/>
                <w:iCs/>
                <w:sz w:val="20"/>
                <w:szCs w:val="20"/>
              </w:rPr>
            </w:pPr>
            <w:r w:rsidRPr="00775CA8">
              <w:rPr>
                <w:rFonts w:ascii="Verdana" w:hAnsi="Verdana" w:cs="Arial"/>
                <w:b/>
                <w:bCs/>
                <w:iCs/>
                <w:sz w:val="20"/>
                <w:szCs w:val="20"/>
              </w:rPr>
              <w:t>Do you have any further comments?</w:t>
            </w:r>
          </w:p>
        </w:tc>
      </w:tr>
      <w:tr w:rsidR="00E50BB8" w:rsidRPr="00CD1C97" w14:paraId="3BD2040D" w14:textId="77777777" w:rsidTr="00FE739B">
        <w:trPr>
          <w:trHeight w:val="1611"/>
        </w:trPr>
        <w:tc>
          <w:tcPr>
            <w:tcW w:w="8528" w:type="dxa"/>
          </w:tcPr>
          <w:p w14:paraId="1CAAB216" w14:textId="77777777" w:rsidR="00E50BB8" w:rsidRDefault="00F435E5" w:rsidP="00FE739B">
            <w:pPr>
              <w:spacing w:after="120"/>
              <w:jc w:val="both"/>
              <w:rPr>
                <w:rFonts w:ascii="Verdana" w:hAnsi="Verdana" w:cs="Arial"/>
                <w:b/>
                <w:color w:val="FF0000"/>
                <w:sz w:val="20"/>
                <w:szCs w:val="20"/>
              </w:rPr>
            </w:pPr>
            <w:r>
              <w:rPr>
                <w:rFonts w:ascii="Verdana" w:hAnsi="Verdana" w:cs="Arial"/>
                <w:b/>
                <w:color w:val="FF0000"/>
                <w:sz w:val="20"/>
                <w:szCs w:val="20"/>
              </w:rPr>
              <w:t>D</w:t>
            </w:r>
            <w:r w:rsidR="00E50BB8">
              <w:rPr>
                <w:rFonts w:ascii="Verdana" w:hAnsi="Verdana" w:cs="Arial"/>
                <w:b/>
                <w:color w:val="FF0000"/>
                <w:sz w:val="20"/>
                <w:szCs w:val="20"/>
              </w:rPr>
              <w:t xml:space="preserve">oing a second round of consultation </w:t>
            </w:r>
            <w:r>
              <w:rPr>
                <w:rFonts w:ascii="Verdana" w:hAnsi="Verdana" w:cs="Arial"/>
                <w:b/>
                <w:color w:val="FF0000"/>
                <w:sz w:val="20"/>
                <w:szCs w:val="20"/>
              </w:rPr>
              <w:t>in this way is a good idea</w:t>
            </w:r>
            <w:r w:rsidR="00E50BB8">
              <w:rPr>
                <w:rFonts w:ascii="Verdana" w:hAnsi="Verdana" w:cs="Arial"/>
                <w:b/>
                <w:color w:val="FF0000"/>
                <w:sz w:val="20"/>
                <w:szCs w:val="20"/>
              </w:rPr>
              <w:t xml:space="preserve">. </w:t>
            </w:r>
          </w:p>
          <w:p w14:paraId="5B7EC75D" w14:textId="77777777" w:rsidR="00E14C15" w:rsidRDefault="00F435E5" w:rsidP="00FE739B">
            <w:pPr>
              <w:spacing w:after="120"/>
              <w:jc w:val="both"/>
              <w:rPr>
                <w:rFonts w:ascii="Verdana" w:hAnsi="Verdana" w:cs="Arial"/>
                <w:b/>
                <w:color w:val="FF0000"/>
                <w:sz w:val="20"/>
                <w:szCs w:val="20"/>
              </w:rPr>
            </w:pPr>
            <w:r>
              <w:rPr>
                <w:rFonts w:ascii="Verdana" w:hAnsi="Verdana" w:cs="Arial"/>
                <w:b/>
                <w:color w:val="FF0000"/>
                <w:sz w:val="20"/>
                <w:szCs w:val="20"/>
              </w:rPr>
              <w:t>Unfortunately, in this case, the working group has not properly taken into account some of the comments in the</w:t>
            </w:r>
            <w:r w:rsidR="00D819E3">
              <w:rPr>
                <w:rFonts w:ascii="Verdana" w:hAnsi="Verdana" w:cs="Arial"/>
                <w:b/>
                <w:color w:val="FF0000"/>
                <w:sz w:val="20"/>
                <w:szCs w:val="20"/>
              </w:rPr>
              <w:t xml:space="preserve"> original consultation.  I give a few examples below.</w:t>
            </w:r>
          </w:p>
          <w:p w14:paraId="29B31EAB" w14:textId="6EF572F1" w:rsidR="00D819E3" w:rsidRDefault="00E14C15" w:rsidP="00E14C15">
            <w:pPr>
              <w:rPr>
                <w:rFonts w:ascii="Verdana" w:hAnsi="Verdana" w:cs="Arial"/>
                <w:b/>
                <w:color w:val="FF0000"/>
                <w:sz w:val="20"/>
                <w:szCs w:val="20"/>
              </w:rPr>
            </w:pPr>
            <w:r>
              <w:rPr>
                <w:rFonts w:ascii="Verdana" w:hAnsi="Verdana" w:cs="Arial"/>
                <w:b/>
                <w:color w:val="FF0000"/>
                <w:sz w:val="20"/>
                <w:szCs w:val="20"/>
              </w:rPr>
              <w:t>The working group says</w:t>
            </w:r>
            <w:r w:rsidR="00921E75">
              <w:rPr>
                <w:rFonts w:ascii="Verdana" w:hAnsi="Verdana" w:cs="Arial"/>
                <w:b/>
                <w:color w:val="FF0000"/>
                <w:sz w:val="20"/>
                <w:szCs w:val="20"/>
              </w:rPr>
              <w:t>:</w:t>
            </w:r>
            <w:r>
              <w:rPr>
                <w:rFonts w:ascii="Verdana" w:hAnsi="Verdana" w:cs="Arial"/>
                <w:b/>
                <w:color w:val="FF0000"/>
                <w:sz w:val="20"/>
                <w:szCs w:val="20"/>
              </w:rPr>
              <w:t xml:space="preserve"> “</w:t>
            </w:r>
            <w:r w:rsidRPr="00E14C15">
              <w:rPr>
                <w:rFonts w:ascii="Verdana" w:hAnsi="Verdana" w:cs="Arial"/>
                <w:b/>
                <w:color w:val="FF0000"/>
                <w:sz w:val="20"/>
                <w:szCs w:val="20"/>
              </w:rPr>
              <w:t>It was noted that DCP 164 only relates to the charging methodology CPs and thus should not impact the smart meter roll out.</w:t>
            </w:r>
            <w:r>
              <w:rPr>
                <w:rFonts w:ascii="Verdana" w:hAnsi="Verdana" w:cs="Arial"/>
                <w:b/>
                <w:color w:val="FF0000"/>
                <w:sz w:val="20"/>
                <w:szCs w:val="20"/>
              </w:rPr>
              <w:t xml:space="preserve">”  This seems to ignore the fact that several DCPs </w:t>
            </w:r>
            <w:r w:rsidR="00D819E3">
              <w:rPr>
                <w:rFonts w:ascii="Verdana" w:hAnsi="Verdana" w:cs="Arial"/>
                <w:b/>
                <w:color w:val="FF0000"/>
                <w:sz w:val="20"/>
                <w:szCs w:val="20"/>
              </w:rPr>
              <w:t xml:space="preserve">arising from the MIG NHH/HH </w:t>
            </w:r>
            <w:proofErr w:type="spellStart"/>
            <w:r w:rsidR="00D819E3">
              <w:rPr>
                <w:rFonts w:ascii="Verdana" w:hAnsi="Verdana" w:cs="Arial"/>
                <w:b/>
                <w:color w:val="FF0000"/>
                <w:sz w:val="20"/>
                <w:szCs w:val="20"/>
              </w:rPr>
              <w:t>workstream</w:t>
            </w:r>
            <w:proofErr w:type="spellEnd"/>
            <w:r w:rsidR="00D819E3">
              <w:rPr>
                <w:rFonts w:ascii="Verdana" w:hAnsi="Verdana" w:cs="Arial"/>
                <w:b/>
                <w:color w:val="FF0000"/>
                <w:sz w:val="20"/>
                <w:szCs w:val="20"/>
              </w:rPr>
              <w:t xml:space="preserve"> are triggered by a wish to remove distortions in use of system charges that </w:t>
            </w:r>
            <w:r w:rsidR="009725E4">
              <w:rPr>
                <w:rFonts w:ascii="Verdana" w:hAnsi="Verdana" w:cs="Arial"/>
                <w:b/>
                <w:color w:val="FF0000"/>
                <w:sz w:val="20"/>
                <w:szCs w:val="20"/>
              </w:rPr>
              <w:t>might be</w:t>
            </w:r>
            <w:r w:rsidR="00D819E3">
              <w:rPr>
                <w:rFonts w:ascii="Verdana" w:hAnsi="Verdana" w:cs="Arial"/>
                <w:b/>
                <w:color w:val="FF0000"/>
                <w:sz w:val="20"/>
                <w:szCs w:val="20"/>
              </w:rPr>
              <w:t xml:space="preserve"> hindering half-hourly settlement of smart meters.</w:t>
            </w:r>
          </w:p>
          <w:p w14:paraId="57AC3E77" w14:textId="77777777" w:rsidR="00D819E3" w:rsidRDefault="00D819E3" w:rsidP="00E14C15">
            <w:pPr>
              <w:rPr>
                <w:rFonts w:ascii="Verdana" w:hAnsi="Verdana" w:cs="Arial"/>
                <w:b/>
                <w:color w:val="FF0000"/>
                <w:sz w:val="20"/>
                <w:szCs w:val="20"/>
              </w:rPr>
            </w:pPr>
          </w:p>
          <w:p w14:paraId="05E54BDA" w14:textId="77777777" w:rsidR="00E14C15" w:rsidRDefault="00D819E3" w:rsidP="00E14C15">
            <w:pPr>
              <w:rPr>
                <w:rFonts w:ascii="Verdana" w:hAnsi="Verdana" w:cs="Arial"/>
                <w:b/>
                <w:color w:val="FF0000"/>
                <w:sz w:val="20"/>
                <w:szCs w:val="20"/>
              </w:rPr>
            </w:pPr>
            <w:r>
              <w:rPr>
                <w:rFonts w:ascii="Verdana" w:hAnsi="Verdana" w:cs="Arial"/>
                <w:b/>
                <w:color w:val="FF0000"/>
                <w:sz w:val="20"/>
                <w:szCs w:val="20"/>
              </w:rPr>
              <w:t xml:space="preserve">In response to </w:t>
            </w:r>
            <w:r w:rsidRPr="00D819E3">
              <w:rPr>
                <w:rFonts w:ascii="Verdana" w:hAnsi="Verdana" w:cs="Arial"/>
                <w:b/>
                <w:color w:val="FF0000"/>
                <w:sz w:val="20"/>
                <w:szCs w:val="20"/>
              </w:rPr>
              <w:t>SSE Energy Supply</w:t>
            </w:r>
            <w:r>
              <w:rPr>
                <w:rFonts w:ascii="Verdana" w:hAnsi="Verdana" w:cs="Arial"/>
                <w:b/>
                <w:color w:val="FF0000"/>
                <w:sz w:val="20"/>
                <w:szCs w:val="20"/>
              </w:rPr>
              <w:t>’s criticism of the proposal in response to questions 4 and 5, the working group offers a variety of irrelevant comments in question 4 and says “Noted” in the crucial question 5 about relevant objectives.  This does not address SSE’s suggestion that the Panel (not Ofgem) should have discretion to respond to circumstances.</w:t>
            </w:r>
          </w:p>
          <w:p w14:paraId="489B9DE5" w14:textId="77777777" w:rsidR="00D819E3" w:rsidRDefault="00D819E3" w:rsidP="00E14C15">
            <w:pPr>
              <w:rPr>
                <w:rFonts w:ascii="Verdana" w:hAnsi="Verdana" w:cs="Arial"/>
                <w:b/>
                <w:color w:val="FF0000"/>
                <w:sz w:val="20"/>
                <w:szCs w:val="20"/>
              </w:rPr>
            </w:pPr>
          </w:p>
          <w:p w14:paraId="150540C5" w14:textId="6F5BC077" w:rsidR="00D819E3" w:rsidRDefault="00D819E3" w:rsidP="001E058E">
            <w:pPr>
              <w:rPr>
                <w:rFonts w:ascii="Verdana" w:hAnsi="Verdana" w:cs="Arial"/>
                <w:b/>
                <w:color w:val="FF0000"/>
                <w:sz w:val="20"/>
                <w:szCs w:val="20"/>
              </w:rPr>
            </w:pPr>
            <w:r>
              <w:rPr>
                <w:rFonts w:ascii="Verdana" w:hAnsi="Verdana" w:cs="Arial"/>
                <w:b/>
                <w:color w:val="FF0000"/>
                <w:sz w:val="20"/>
                <w:szCs w:val="20"/>
              </w:rPr>
              <w:t>The working group says: “</w:t>
            </w:r>
            <w:r w:rsidRPr="00D819E3">
              <w:rPr>
                <w:rFonts w:ascii="Verdana" w:hAnsi="Verdana" w:cs="Arial"/>
                <w:b/>
                <w:color w:val="FF0000"/>
                <w:sz w:val="20"/>
                <w:szCs w:val="20"/>
              </w:rPr>
              <w:t>it was suggested that DCP 130 might have been the most likely case where this would occur as there was a drive from the Scottish parliament for it to be implemented sooner rather than later, however, the DCP 130 Working Group were fully aware of this.</w:t>
            </w:r>
            <w:r>
              <w:rPr>
                <w:rFonts w:ascii="Verdana" w:hAnsi="Verdana" w:cs="Arial"/>
                <w:b/>
                <w:color w:val="FF0000"/>
                <w:sz w:val="20"/>
                <w:szCs w:val="20"/>
              </w:rPr>
              <w:t xml:space="preserve">”  I followed the DCP 130 process and do not recall any documented intervention from the Scottish Parliament (which has no powers in this </w:t>
            </w:r>
            <w:r>
              <w:rPr>
                <w:rFonts w:ascii="Verdana" w:hAnsi="Verdana" w:cs="Arial"/>
                <w:b/>
                <w:color w:val="FF0000"/>
                <w:sz w:val="20"/>
                <w:szCs w:val="20"/>
              </w:rPr>
              <w:lastRenderedPageBreak/>
              <w:t>area).  I cannot find the word Parliament in the DCP 130 change report.  The DCP 164 working group should</w:t>
            </w:r>
            <w:r w:rsidR="009725E4">
              <w:rPr>
                <w:rFonts w:ascii="Verdana" w:hAnsi="Verdana" w:cs="Arial"/>
                <w:b/>
                <w:color w:val="FF0000"/>
                <w:sz w:val="20"/>
                <w:szCs w:val="20"/>
              </w:rPr>
              <w:t xml:space="preserve"> perhaps try to</w:t>
            </w:r>
            <w:bookmarkStart w:id="0" w:name="_GoBack"/>
            <w:bookmarkEnd w:id="0"/>
            <w:r>
              <w:rPr>
                <w:rFonts w:ascii="Verdana" w:hAnsi="Verdana" w:cs="Arial"/>
                <w:b/>
                <w:color w:val="FF0000"/>
                <w:sz w:val="20"/>
                <w:szCs w:val="20"/>
              </w:rPr>
              <w:t xml:space="preserve"> avoid appearing to rely on unattributed hearsay.</w:t>
            </w:r>
          </w:p>
          <w:p w14:paraId="05929299" w14:textId="77777777" w:rsidR="001E058E" w:rsidRDefault="001E058E" w:rsidP="001E058E">
            <w:pPr>
              <w:rPr>
                <w:rFonts w:ascii="Verdana" w:hAnsi="Verdana" w:cs="Arial"/>
                <w:b/>
                <w:color w:val="FF0000"/>
                <w:sz w:val="20"/>
                <w:szCs w:val="20"/>
              </w:rPr>
            </w:pPr>
          </w:p>
          <w:p w14:paraId="630EA091" w14:textId="2D5CC9A3" w:rsidR="001E058E" w:rsidRDefault="001E058E" w:rsidP="001E058E">
            <w:pPr>
              <w:spacing w:after="120"/>
              <w:jc w:val="both"/>
              <w:rPr>
                <w:rFonts w:ascii="Verdana" w:hAnsi="Verdana" w:cs="Arial"/>
                <w:b/>
                <w:color w:val="FF0000"/>
                <w:sz w:val="20"/>
                <w:szCs w:val="20"/>
              </w:rPr>
            </w:pPr>
            <w:r>
              <w:rPr>
                <w:rFonts w:ascii="Verdana" w:hAnsi="Verdana" w:cs="Arial"/>
                <w:b/>
                <w:color w:val="FF0000"/>
                <w:sz w:val="20"/>
                <w:szCs w:val="20"/>
              </w:rPr>
              <w:t>The working group</w:t>
            </w:r>
            <w:r w:rsidR="0083417A">
              <w:rPr>
                <w:rFonts w:ascii="Verdana" w:hAnsi="Verdana" w:cs="Arial"/>
                <w:b/>
                <w:color w:val="FF0000"/>
                <w:sz w:val="20"/>
                <w:szCs w:val="20"/>
              </w:rPr>
              <w:t xml:space="preserve"> said “N</w:t>
            </w:r>
            <w:r>
              <w:rPr>
                <w:rFonts w:ascii="Verdana" w:hAnsi="Verdana" w:cs="Arial"/>
                <w:b/>
                <w:color w:val="FF0000"/>
                <w:sz w:val="20"/>
                <w:szCs w:val="20"/>
              </w:rPr>
              <w:t>oted” and appeared to ignore SSE Energy Supply’s comment on question 8.</w:t>
            </w:r>
          </w:p>
          <w:p w14:paraId="4332C23A" w14:textId="77777777" w:rsidR="001E058E" w:rsidRDefault="001E058E" w:rsidP="001E058E">
            <w:pPr>
              <w:spacing w:after="120"/>
              <w:jc w:val="both"/>
              <w:rPr>
                <w:rFonts w:ascii="Verdana" w:hAnsi="Verdana" w:cs="Arial"/>
                <w:b/>
                <w:color w:val="FF0000"/>
                <w:sz w:val="20"/>
                <w:szCs w:val="20"/>
              </w:rPr>
            </w:pPr>
            <w:r>
              <w:rPr>
                <w:rFonts w:ascii="Verdana" w:hAnsi="Verdana" w:cs="Arial"/>
                <w:b/>
                <w:color w:val="FF0000"/>
                <w:sz w:val="20"/>
                <w:szCs w:val="20"/>
              </w:rPr>
              <w:t>The working group’s approach to question 8 is absurd: if Ofgem plans to restrict tariff changes through the licence, then there is no need to reproduce that restriction in DCUSA.  In fact reproducing the restriction would be harmful: if Ofgem changes its mind and decides, say, to allow two changes a year, then presumably DCUSA would need to be changed again to meet the new policy.</w:t>
            </w:r>
          </w:p>
          <w:p w14:paraId="0D5205F6" w14:textId="77777777" w:rsidR="001E058E" w:rsidRDefault="001E058E" w:rsidP="001E058E">
            <w:pPr>
              <w:rPr>
                <w:rFonts w:ascii="Verdana" w:hAnsi="Verdana" w:cs="Arial"/>
                <w:b/>
                <w:color w:val="FF0000"/>
                <w:sz w:val="20"/>
                <w:szCs w:val="20"/>
              </w:rPr>
            </w:pPr>
            <w:r>
              <w:rPr>
                <w:rFonts w:ascii="Verdana" w:hAnsi="Verdana" w:cs="Arial"/>
                <w:b/>
                <w:color w:val="FF0000"/>
                <w:sz w:val="20"/>
                <w:szCs w:val="20"/>
              </w:rPr>
              <w:t>The working group says: “</w:t>
            </w:r>
            <w:r w:rsidRPr="001E058E">
              <w:rPr>
                <w:rFonts w:ascii="Verdana" w:hAnsi="Verdana" w:cs="Arial"/>
                <w:b/>
                <w:color w:val="FF0000"/>
                <w:sz w:val="20"/>
                <w:szCs w:val="20"/>
              </w:rPr>
              <w:t>The CDCM has been under open governance for three years and many significant issues have been considered under the DCUSA Change Process in order to address these concerns and work is under way to address others.</w:t>
            </w:r>
            <w:r>
              <w:rPr>
                <w:rFonts w:ascii="Verdana" w:hAnsi="Verdana" w:cs="Arial"/>
                <w:b/>
                <w:color w:val="FF0000"/>
                <w:sz w:val="20"/>
                <w:szCs w:val="20"/>
              </w:rPr>
              <w:t>”  This is misleading: in terms of methodology changes affecting the CDCM model, only one significant issue might have been addressed so far (DCP 130), and given the slow timetable with which others are being progressed (e.g. DCP 123), there is a real risk that DCP 164 would prevent timely implementation of significant changes.  The working group has not properly considered this problem with its proposals.</w:t>
            </w:r>
          </w:p>
          <w:p w14:paraId="1EBB6E82" w14:textId="77777777" w:rsidR="001E058E" w:rsidRDefault="001E058E" w:rsidP="001E058E">
            <w:pPr>
              <w:rPr>
                <w:rFonts w:ascii="Verdana" w:hAnsi="Verdana" w:cs="Arial"/>
                <w:b/>
                <w:color w:val="FF0000"/>
                <w:sz w:val="20"/>
                <w:szCs w:val="20"/>
              </w:rPr>
            </w:pPr>
          </w:p>
          <w:p w14:paraId="178B374A" w14:textId="77777777" w:rsidR="001E058E" w:rsidRDefault="001E058E" w:rsidP="00A63F98">
            <w:pPr>
              <w:rPr>
                <w:rFonts w:ascii="Verdana" w:hAnsi="Verdana" w:cs="Arial"/>
                <w:b/>
                <w:color w:val="FF0000"/>
                <w:sz w:val="20"/>
                <w:szCs w:val="20"/>
              </w:rPr>
            </w:pPr>
            <w:r>
              <w:rPr>
                <w:rFonts w:ascii="Verdana" w:hAnsi="Verdana" w:cs="Arial"/>
                <w:b/>
                <w:color w:val="FF0000"/>
                <w:sz w:val="20"/>
                <w:szCs w:val="20"/>
              </w:rPr>
              <w:t>I said “</w:t>
            </w:r>
            <w:r w:rsidRPr="001E058E">
              <w:rPr>
                <w:rFonts w:ascii="Verdana" w:hAnsi="Verdana" w:cs="Arial"/>
                <w:b/>
                <w:color w:val="FF0000"/>
                <w:sz w:val="20"/>
                <w:szCs w:val="20"/>
              </w:rPr>
              <w:t>The proposal provides no effective remedy for affected persons (particularly non-DCUSA parties) if the DCUSA panel and/or secretariat fails to meet the relevant deadlines.</w:t>
            </w:r>
            <w:r>
              <w:rPr>
                <w:rFonts w:ascii="Verdana" w:hAnsi="Verdana" w:cs="Arial"/>
                <w:b/>
                <w:color w:val="FF0000"/>
                <w:sz w:val="20"/>
                <w:szCs w:val="20"/>
              </w:rPr>
              <w:t>” The working group silently ignored that comment.</w:t>
            </w:r>
          </w:p>
          <w:p w14:paraId="52D4BEFD" w14:textId="77777777" w:rsidR="00A63F98" w:rsidRDefault="00A63F98" w:rsidP="00A63F98">
            <w:pPr>
              <w:rPr>
                <w:rFonts w:ascii="Verdana" w:hAnsi="Verdana" w:cs="Arial"/>
                <w:b/>
                <w:color w:val="FF0000"/>
                <w:sz w:val="20"/>
                <w:szCs w:val="20"/>
              </w:rPr>
            </w:pPr>
          </w:p>
          <w:p w14:paraId="46AFD716" w14:textId="77777777" w:rsidR="00A63F98" w:rsidRDefault="00A63F98" w:rsidP="00A63F98">
            <w:pPr>
              <w:rPr>
                <w:rFonts w:ascii="Verdana" w:hAnsi="Verdana" w:cs="Arial"/>
                <w:b/>
                <w:color w:val="FF0000"/>
                <w:sz w:val="20"/>
                <w:szCs w:val="20"/>
              </w:rPr>
            </w:pPr>
            <w:r>
              <w:rPr>
                <w:rFonts w:ascii="Verdana" w:hAnsi="Verdana" w:cs="Arial"/>
                <w:b/>
                <w:color w:val="FF0000"/>
                <w:sz w:val="20"/>
                <w:szCs w:val="20"/>
              </w:rPr>
              <w:t>In response to my question 10 comments, the working group said “</w:t>
            </w:r>
            <w:r w:rsidRPr="00A63F98">
              <w:rPr>
                <w:rFonts w:ascii="Verdana" w:hAnsi="Verdana" w:cs="Arial"/>
                <w:b/>
                <w:color w:val="FF0000"/>
                <w:sz w:val="20"/>
                <w:szCs w:val="20"/>
              </w:rPr>
              <w:t>The group noted that it would review this comment when it considerers the alternative solution against question 11</w:t>
            </w:r>
            <w:r>
              <w:rPr>
                <w:rFonts w:ascii="Verdana" w:hAnsi="Verdana" w:cs="Arial"/>
                <w:b/>
                <w:color w:val="FF0000"/>
                <w:sz w:val="20"/>
                <w:szCs w:val="20"/>
              </w:rPr>
              <w:t>”.  But it did not.</w:t>
            </w:r>
          </w:p>
          <w:p w14:paraId="62DB4566" w14:textId="77777777" w:rsidR="00A63F98" w:rsidRDefault="00A63F98" w:rsidP="00A63F98">
            <w:pPr>
              <w:rPr>
                <w:rFonts w:ascii="Verdana" w:hAnsi="Verdana" w:cs="Arial"/>
                <w:b/>
                <w:color w:val="FF0000"/>
                <w:sz w:val="20"/>
                <w:szCs w:val="20"/>
              </w:rPr>
            </w:pPr>
          </w:p>
          <w:p w14:paraId="1102552A" w14:textId="21004DE3" w:rsidR="00A63F98" w:rsidRDefault="00A63F98" w:rsidP="00A63F98">
            <w:pPr>
              <w:rPr>
                <w:rFonts w:ascii="Verdana" w:hAnsi="Verdana" w:cs="Arial"/>
                <w:b/>
                <w:color w:val="FF0000"/>
                <w:sz w:val="20"/>
                <w:szCs w:val="20"/>
              </w:rPr>
            </w:pPr>
            <w:r>
              <w:rPr>
                <w:rFonts w:ascii="Verdana" w:hAnsi="Verdana" w:cs="Arial"/>
                <w:b/>
                <w:color w:val="FF0000"/>
                <w:sz w:val="20"/>
                <w:szCs w:val="20"/>
              </w:rPr>
              <w:t>The working group says in response to my question 10 comments: “</w:t>
            </w:r>
            <w:r w:rsidRPr="00A63F98">
              <w:rPr>
                <w:rFonts w:ascii="Verdana" w:hAnsi="Verdana" w:cs="Arial"/>
                <w:b/>
                <w:color w:val="FF0000"/>
                <w:sz w:val="20"/>
                <w:szCs w:val="20"/>
              </w:rPr>
              <w:t>It was noted that the respondents suggestion would create the maximum number of models possible</w:t>
            </w:r>
            <w:r>
              <w:rPr>
                <w:rFonts w:ascii="Verdana" w:hAnsi="Verdana" w:cs="Arial"/>
                <w:b/>
                <w:color w:val="FF0000"/>
                <w:sz w:val="20"/>
                <w:szCs w:val="20"/>
              </w:rPr>
              <w:t xml:space="preserve">”.  This </w:t>
            </w:r>
            <w:r w:rsidR="00EA479E">
              <w:rPr>
                <w:rFonts w:ascii="Verdana" w:hAnsi="Verdana" w:cs="Arial"/>
                <w:b/>
                <w:color w:val="FF0000"/>
                <w:sz w:val="20"/>
                <w:szCs w:val="20"/>
              </w:rPr>
              <w:t xml:space="preserve">claim is </w:t>
            </w:r>
            <w:r>
              <w:rPr>
                <w:rFonts w:ascii="Verdana" w:hAnsi="Verdana" w:cs="Arial"/>
                <w:b/>
                <w:color w:val="FF0000"/>
                <w:sz w:val="20"/>
                <w:szCs w:val="20"/>
              </w:rPr>
              <w:t>unsupported by any logic or argument</w:t>
            </w:r>
            <w:r w:rsidR="00EA479E">
              <w:rPr>
                <w:rFonts w:ascii="Verdana" w:hAnsi="Verdana" w:cs="Arial"/>
                <w:b/>
                <w:color w:val="FF0000"/>
                <w:sz w:val="20"/>
                <w:szCs w:val="20"/>
              </w:rPr>
              <w:t xml:space="preserve"> and </w:t>
            </w:r>
            <w:r>
              <w:rPr>
                <w:rFonts w:ascii="Verdana" w:hAnsi="Verdana" w:cs="Arial"/>
                <w:b/>
                <w:color w:val="FF0000"/>
                <w:sz w:val="20"/>
                <w:szCs w:val="20"/>
              </w:rPr>
              <w:t>does not lead anywhere.</w:t>
            </w:r>
            <w:r w:rsidR="00EA479E">
              <w:rPr>
                <w:rFonts w:ascii="Verdana" w:hAnsi="Verdana" w:cs="Arial"/>
                <w:b/>
                <w:color w:val="FF0000"/>
                <w:sz w:val="20"/>
                <w:szCs w:val="20"/>
              </w:rPr>
              <w:t xml:space="preserve">  I think that it is also false.</w:t>
            </w:r>
          </w:p>
          <w:p w14:paraId="2189F072" w14:textId="77777777" w:rsidR="00A63F98" w:rsidRDefault="00A63F98" w:rsidP="00A63F98">
            <w:pPr>
              <w:rPr>
                <w:rFonts w:ascii="Verdana" w:hAnsi="Verdana" w:cs="Arial"/>
                <w:b/>
                <w:color w:val="FF0000"/>
                <w:sz w:val="20"/>
                <w:szCs w:val="20"/>
              </w:rPr>
            </w:pPr>
          </w:p>
          <w:p w14:paraId="43DA0421" w14:textId="77777777" w:rsidR="00A63F98" w:rsidRDefault="00A63F98" w:rsidP="00A63F98">
            <w:pPr>
              <w:rPr>
                <w:rFonts w:ascii="Verdana" w:hAnsi="Verdana" w:cs="Arial"/>
                <w:b/>
                <w:color w:val="FF0000"/>
                <w:sz w:val="20"/>
                <w:szCs w:val="20"/>
              </w:rPr>
            </w:pPr>
            <w:r>
              <w:rPr>
                <w:rFonts w:ascii="Verdana" w:hAnsi="Verdana" w:cs="Arial"/>
                <w:b/>
                <w:color w:val="FF0000"/>
                <w:sz w:val="20"/>
                <w:szCs w:val="20"/>
              </w:rPr>
              <w:t>The working group silently ignored the first paragraph of my response to question 11</w:t>
            </w:r>
            <w:r w:rsidRPr="00A63F98">
              <w:rPr>
                <w:rFonts w:ascii="Verdana" w:hAnsi="Verdana" w:cs="Arial"/>
                <w:b/>
                <w:color w:val="FF0000"/>
                <w:sz w:val="20"/>
                <w:szCs w:val="20"/>
              </w:rPr>
              <w:t>.</w:t>
            </w:r>
          </w:p>
          <w:p w14:paraId="1DDD411A" w14:textId="77777777" w:rsidR="00A63F98" w:rsidRDefault="00A63F98" w:rsidP="00A63F98">
            <w:pPr>
              <w:rPr>
                <w:rFonts w:ascii="Verdana" w:hAnsi="Verdana" w:cs="Arial"/>
                <w:b/>
                <w:color w:val="FF0000"/>
                <w:sz w:val="20"/>
                <w:szCs w:val="20"/>
              </w:rPr>
            </w:pPr>
          </w:p>
          <w:p w14:paraId="4C17577D" w14:textId="23B8C5C6" w:rsidR="00D93100" w:rsidRDefault="00A63F98" w:rsidP="00D93100">
            <w:pPr>
              <w:rPr>
                <w:rFonts w:ascii="Verdana" w:hAnsi="Verdana" w:cs="Arial"/>
                <w:b/>
                <w:color w:val="FF0000"/>
                <w:sz w:val="20"/>
                <w:szCs w:val="20"/>
              </w:rPr>
            </w:pPr>
            <w:r>
              <w:rPr>
                <w:rFonts w:ascii="Verdana" w:hAnsi="Verdana" w:cs="Arial"/>
                <w:b/>
                <w:color w:val="FF0000"/>
                <w:sz w:val="20"/>
                <w:szCs w:val="20"/>
              </w:rPr>
              <w:t>The working group says</w:t>
            </w:r>
            <w:r w:rsidR="00EA479E">
              <w:rPr>
                <w:rFonts w:ascii="Verdana" w:hAnsi="Verdana" w:cs="Arial"/>
                <w:b/>
                <w:color w:val="FF0000"/>
                <w:sz w:val="20"/>
                <w:szCs w:val="20"/>
              </w:rPr>
              <w:t>:</w:t>
            </w:r>
            <w:r>
              <w:rPr>
                <w:rFonts w:ascii="Verdana" w:hAnsi="Verdana" w:cs="Arial"/>
                <w:b/>
                <w:color w:val="FF0000"/>
                <w:sz w:val="20"/>
                <w:szCs w:val="20"/>
              </w:rPr>
              <w:t xml:space="preserve"> “</w:t>
            </w:r>
            <w:r w:rsidRPr="00A63F98">
              <w:rPr>
                <w:rFonts w:ascii="Verdana" w:hAnsi="Verdana" w:cs="Arial"/>
                <w:b/>
                <w:color w:val="FF0000"/>
                <w:sz w:val="20"/>
                <w:szCs w:val="20"/>
              </w:rPr>
              <w:t>It was also noted that very few smart metering related changes will impact distribution use of system changes</w:t>
            </w:r>
            <w:r>
              <w:rPr>
                <w:rFonts w:ascii="Verdana" w:hAnsi="Verdana" w:cs="Arial"/>
                <w:b/>
                <w:color w:val="FF0000"/>
                <w:sz w:val="20"/>
                <w:szCs w:val="20"/>
              </w:rPr>
              <w:t xml:space="preserve">”.  That is not my impression from watching the MIG NHH/HH process and the DCPs following from it.  The working group should support any comments on this nature </w:t>
            </w:r>
            <w:r w:rsidR="00D93100">
              <w:rPr>
                <w:rFonts w:ascii="Verdana" w:hAnsi="Verdana" w:cs="Arial"/>
                <w:b/>
                <w:color w:val="FF0000"/>
                <w:sz w:val="20"/>
                <w:szCs w:val="20"/>
              </w:rPr>
              <w:t xml:space="preserve">by reference to documents and </w:t>
            </w:r>
            <w:r>
              <w:rPr>
                <w:rFonts w:ascii="Verdana" w:hAnsi="Verdana" w:cs="Arial"/>
                <w:b/>
                <w:color w:val="FF0000"/>
                <w:sz w:val="20"/>
                <w:szCs w:val="20"/>
              </w:rPr>
              <w:t xml:space="preserve">facts, in the same way as SSE Energy Supply had pointed to the problems that arose </w:t>
            </w:r>
            <w:r w:rsidR="00D93100">
              <w:rPr>
                <w:rFonts w:ascii="Verdana" w:hAnsi="Verdana" w:cs="Arial"/>
                <w:b/>
                <w:color w:val="FF0000"/>
                <w:sz w:val="20"/>
                <w:szCs w:val="20"/>
              </w:rPr>
              <w:t>in connection with P272 and P280.</w:t>
            </w:r>
          </w:p>
          <w:p w14:paraId="36843678" w14:textId="77777777" w:rsidR="00D93100" w:rsidRDefault="00D93100" w:rsidP="00D93100">
            <w:pPr>
              <w:rPr>
                <w:rFonts w:ascii="Verdana" w:hAnsi="Verdana" w:cs="Arial"/>
                <w:b/>
                <w:color w:val="FF0000"/>
                <w:sz w:val="20"/>
                <w:szCs w:val="20"/>
              </w:rPr>
            </w:pPr>
          </w:p>
          <w:p w14:paraId="092A6E31" w14:textId="77777777" w:rsidR="00A63F98" w:rsidRPr="00CD1C97" w:rsidRDefault="00D93100" w:rsidP="00D93100">
            <w:pPr>
              <w:rPr>
                <w:rFonts w:ascii="Verdana" w:hAnsi="Verdana" w:cs="Arial"/>
                <w:b/>
                <w:color w:val="FF0000"/>
                <w:sz w:val="20"/>
                <w:szCs w:val="20"/>
              </w:rPr>
            </w:pPr>
            <w:r>
              <w:rPr>
                <w:rFonts w:ascii="Verdana" w:hAnsi="Verdana" w:cs="Arial"/>
                <w:b/>
                <w:color w:val="FF0000"/>
                <w:sz w:val="20"/>
                <w:szCs w:val="20"/>
              </w:rPr>
              <w:t>In response to my reference to a specific order of Parliament, the working group cites the view of an unnamed DCUSA Panel member.  I wonder whether the working group might do better work if it paid more attention to Parliament than to DCUSA Panel members who refuse to be identified.</w:t>
            </w:r>
          </w:p>
        </w:tc>
      </w:tr>
    </w:tbl>
    <w:p w14:paraId="02F22DAF" w14:textId="77777777" w:rsidR="00E50BB8" w:rsidRDefault="00E50BB8" w:rsidP="00F24FAB">
      <w:pPr>
        <w:spacing w:after="120"/>
        <w:rPr>
          <w:rFonts w:ascii="Verdana" w:hAnsi="Verdana" w:cs="Arial"/>
          <w:b/>
          <w:color w:val="FF0000"/>
          <w:sz w:val="20"/>
          <w:szCs w:val="20"/>
        </w:rPr>
      </w:pPr>
    </w:p>
    <w:sectPr w:rsidR="00E50BB8" w:rsidSect="00F24FAB">
      <w:headerReference w:type="default" r:id="rId9"/>
      <w:footerReference w:type="default" r:id="rId1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57A32" w14:textId="77777777" w:rsidR="00A63F98" w:rsidRDefault="00A63F98">
      <w:r>
        <w:separator/>
      </w:r>
    </w:p>
  </w:endnote>
  <w:endnote w:type="continuationSeparator" w:id="0">
    <w:p w14:paraId="447C4715" w14:textId="77777777" w:rsidR="00A63F98" w:rsidRDefault="00A6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CCD0" w14:textId="77777777" w:rsidR="00A63F98" w:rsidRPr="001D2E58" w:rsidRDefault="00A63F98">
    <w:pPr>
      <w:pStyle w:val="Footer"/>
      <w:rPr>
        <w:rFonts w:ascii="Verdana" w:hAnsi="Verdana"/>
        <w:sz w:val="16"/>
        <w:szCs w:val="16"/>
      </w:rPr>
    </w:pPr>
    <w:r>
      <w:rPr>
        <w:rFonts w:ascii="Verdana" w:hAnsi="Verdana"/>
        <w:sz w:val="16"/>
        <w:szCs w:val="16"/>
      </w:rPr>
      <w:t>2 May 2013</w:t>
    </w:r>
    <w:r w:rsidRPr="001D2E58">
      <w:rPr>
        <w:rFonts w:ascii="Verdana" w:hAnsi="Verdana"/>
        <w:sz w:val="16"/>
        <w:szCs w:val="16"/>
      </w:rPr>
      <w:tab/>
      <w:t xml:space="preserve">Page </w:t>
    </w:r>
    <w:r w:rsidRPr="001D2E58">
      <w:rPr>
        <w:rFonts w:ascii="Verdana" w:hAnsi="Verdana"/>
        <w:sz w:val="16"/>
        <w:szCs w:val="16"/>
      </w:rPr>
      <w:fldChar w:fldCharType="begin"/>
    </w:r>
    <w:r w:rsidRPr="001D2E58">
      <w:rPr>
        <w:rFonts w:ascii="Verdana" w:hAnsi="Verdana"/>
        <w:sz w:val="16"/>
        <w:szCs w:val="16"/>
      </w:rPr>
      <w:instrText xml:space="preserve"> PAGE </w:instrText>
    </w:r>
    <w:r w:rsidRPr="001D2E58">
      <w:rPr>
        <w:rFonts w:ascii="Verdana" w:hAnsi="Verdana"/>
        <w:sz w:val="16"/>
        <w:szCs w:val="16"/>
      </w:rPr>
      <w:fldChar w:fldCharType="separate"/>
    </w:r>
    <w:r w:rsidR="009725E4">
      <w:rPr>
        <w:rFonts w:ascii="Verdana" w:hAnsi="Verdana"/>
        <w:noProof/>
        <w:sz w:val="16"/>
        <w:szCs w:val="16"/>
      </w:rPr>
      <w:t>2</w:t>
    </w:r>
    <w:r w:rsidRPr="001D2E58">
      <w:rPr>
        <w:rFonts w:ascii="Verdana" w:hAnsi="Verdana"/>
        <w:sz w:val="16"/>
        <w:szCs w:val="16"/>
      </w:rPr>
      <w:fldChar w:fldCharType="end"/>
    </w:r>
    <w:r w:rsidRPr="001D2E58">
      <w:rPr>
        <w:rFonts w:ascii="Verdana" w:hAnsi="Verdana"/>
        <w:sz w:val="16"/>
        <w:szCs w:val="16"/>
      </w:rPr>
      <w:t xml:space="preserve"> of </w:t>
    </w:r>
    <w:r w:rsidRPr="001D2E58">
      <w:rPr>
        <w:rFonts w:ascii="Verdana" w:hAnsi="Verdana"/>
        <w:sz w:val="16"/>
        <w:szCs w:val="16"/>
      </w:rPr>
      <w:fldChar w:fldCharType="begin"/>
    </w:r>
    <w:r w:rsidRPr="001D2E58">
      <w:rPr>
        <w:rFonts w:ascii="Verdana" w:hAnsi="Verdana"/>
        <w:sz w:val="16"/>
        <w:szCs w:val="16"/>
      </w:rPr>
      <w:instrText xml:space="preserve"> NUMPAGES </w:instrText>
    </w:r>
    <w:r w:rsidRPr="001D2E58">
      <w:rPr>
        <w:rFonts w:ascii="Verdana" w:hAnsi="Verdana"/>
        <w:sz w:val="16"/>
        <w:szCs w:val="16"/>
      </w:rPr>
      <w:fldChar w:fldCharType="separate"/>
    </w:r>
    <w:r w:rsidR="009725E4">
      <w:rPr>
        <w:rFonts w:ascii="Verdana" w:hAnsi="Verdana"/>
        <w:noProof/>
        <w:sz w:val="16"/>
        <w:szCs w:val="16"/>
      </w:rPr>
      <w:t>3</w:t>
    </w:r>
    <w:r w:rsidRPr="001D2E58">
      <w:rPr>
        <w:rFonts w:ascii="Verdana" w:hAnsi="Verdana"/>
        <w:sz w:val="16"/>
        <w:szCs w:val="16"/>
      </w:rPr>
      <w:fldChar w:fldCharType="end"/>
    </w:r>
    <w:r w:rsidRPr="001D2E58">
      <w:rPr>
        <w:rFonts w:ascii="Verdana" w:hAnsi="Verdana"/>
        <w:sz w:val="16"/>
        <w:szCs w:val="16"/>
      </w:rPr>
      <w:tab/>
    </w:r>
    <w:r>
      <w:rPr>
        <w:rFonts w:ascii="Verdana" w:hAnsi="Verdana"/>
        <w:sz w:val="16"/>
        <w:szCs w:val="16"/>
      </w:rPr>
      <w:t>v1.0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F4694" w14:textId="77777777" w:rsidR="00A63F98" w:rsidRDefault="00A63F98">
      <w:r>
        <w:separator/>
      </w:r>
    </w:p>
  </w:footnote>
  <w:footnote w:type="continuationSeparator" w:id="0">
    <w:p w14:paraId="5EEA2251" w14:textId="77777777" w:rsidR="00A63F98" w:rsidRDefault="00A63F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8C582" w14:textId="77777777" w:rsidR="00A63F98" w:rsidRPr="001D2E58" w:rsidRDefault="00A63F98">
    <w:pPr>
      <w:pStyle w:val="Header"/>
      <w:rPr>
        <w:rFonts w:ascii="Verdana" w:hAnsi="Verdana"/>
        <w:sz w:val="16"/>
        <w:szCs w:val="16"/>
      </w:rPr>
    </w:pPr>
    <w:r w:rsidRPr="001D2E58">
      <w:rPr>
        <w:rFonts w:ascii="Verdana" w:hAnsi="Verdana"/>
        <w:sz w:val="16"/>
        <w:szCs w:val="16"/>
      </w:rPr>
      <w:t xml:space="preserve">DCUSA </w:t>
    </w:r>
    <w:r>
      <w:rPr>
        <w:rFonts w:ascii="Verdana" w:hAnsi="Verdana"/>
        <w:sz w:val="16"/>
        <w:szCs w:val="16"/>
      </w:rPr>
      <w:t>Consultation Update Response Form</w:t>
    </w:r>
    <w:r w:rsidRPr="001D2E58">
      <w:rPr>
        <w:rFonts w:ascii="Verdana" w:hAnsi="Verdana"/>
        <w:sz w:val="16"/>
        <w:szCs w:val="16"/>
      </w:rPr>
      <w:tab/>
    </w:r>
    <w:r w:rsidRPr="001D2E58">
      <w:rPr>
        <w:rFonts w:ascii="Verdana" w:hAnsi="Verdana"/>
        <w:sz w:val="16"/>
        <w:szCs w:val="16"/>
      </w:rPr>
      <w:tab/>
      <w:t xml:space="preserve">DCP </w:t>
    </w:r>
    <w:r>
      <w:rPr>
        <w:rFonts w:ascii="Verdana" w:hAnsi="Verdana"/>
        <w:sz w:val="16"/>
        <w:szCs w:val="16"/>
      </w:rPr>
      <w:t>164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31D"/>
    <w:multiLevelType w:val="hybridMultilevel"/>
    <w:tmpl w:val="3F4841AA"/>
    <w:lvl w:ilvl="0" w:tplc="AABEE03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47333AC0"/>
    <w:multiLevelType w:val="multilevel"/>
    <w:tmpl w:val="CE24B324"/>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i w:val="0"/>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AB"/>
    <w:rsid w:val="00001330"/>
    <w:rsid w:val="00001897"/>
    <w:rsid w:val="00001EE5"/>
    <w:rsid w:val="00002018"/>
    <w:rsid w:val="00002582"/>
    <w:rsid w:val="000039A1"/>
    <w:rsid w:val="00005C46"/>
    <w:rsid w:val="00010065"/>
    <w:rsid w:val="00012FC5"/>
    <w:rsid w:val="0001611E"/>
    <w:rsid w:val="000171B1"/>
    <w:rsid w:val="000219E2"/>
    <w:rsid w:val="00025A06"/>
    <w:rsid w:val="00027E4E"/>
    <w:rsid w:val="0003050C"/>
    <w:rsid w:val="00032AF4"/>
    <w:rsid w:val="000330BA"/>
    <w:rsid w:val="00033467"/>
    <w:rsid w:val="0003362A"/>
    <w:rsid w:val="00034589"/>
    <w:rsid w:val="00034B86"/>
    <w:rsid w:val="00036AE1"/>
    <w:rsid w:val="000412B8"/>
    <w:rsid w:val="00044741"/>
    <w:rsid w:val="0004653D"/>
    <w:rsid w:val="00047C64"/>
    <w:rsid w:val="00055D0A"/>
    <w:rsid w:val="00056AC8"/>
    <w:rsid w:val="00063B7A"/>
    <w:rsid w:val="000640DF"/>
    <w:rsid w:val="0006721A"/>
    <w:rsid w:val="00070BF4"/>
    <w:rsid w:val="00070EBE"/>
    <w:rsid w:val="0007103C"/>
    <w:rsid w:val="00076063"/>
    <w:rsid w:val="000834D9"/>
    <w:rsid w:val="00084AE6"/>
    <w:rsid w:val="00084BB7"/>
    <w:rsid w:val="00087572"/>
    <w:rsid w:val="000875E8"/>
    <w:rsid w:val="00094A6E"/>
    <w:rsid w:val="00094A8E"/>
    <w:rsid w:val="000A10B1"/>
    <w:rsid w:val="000A5C4E"/>
    <w:rsid w:val="000A68D6"/>
    <w:rsid w:val="000B0DBF"/>
    <w:rsid w:val="000B3944"/>
    <w:rsid w:val="000B4205"/>
    <w:rsid w:val="000B4DC4"/>
    <w:rsid w:val="000B5397"/>
    <w:rsid w:val="000B5FB9"/>
    <w:rsid w:val="000B627C"/>
    <w:rsid w:val="000B76D8"/>
    <w:rsid w:val="000C5B3B"/>
    <w:rsid w:val="000C7579"/>
    <w:rsid w:val="000C7EAC"/>
    <w:rsid w:val="000D228E"/>
    <w:rsid w:val="000D3E7B"/>
    <w:rsid w:val="000D6722"/>
    <w:rsid w:val="000E0FC4"/>
    <w:rsid w:val="000E10FD"/>
    <w:rsid w:val="000E1488"/>
    <w:rsid w:val="000E41AD"/>
    <w:rsid w:val="000F2792"/>
    <w:rsid w:val="0010136F"/>
    <w:rsid w:val="0010207D"/>
    <w:rsid w:val="0010328C"/>
    <w:rsid w:val="00111EB1"/>
    <w:rsid w:val="001164E9"/>
    <w:rsid w:val="00116D8F"/>
    <w:rsid w:val="001179B4"/>
    <w:rsid w:val="00120798"/>
    <w:rsid w:val="00120C57"/>
    <w:rsid w:val="00121E02"/>
    <w:rsid w:val="00121E5F"/>
    <w:rsid w:val="001251F7"/>
    <w:rsid w:val="001306EC"/>
    <w:rsid w:val="00132D5E"/>
    <w:rsid w:val="00133C76"/>
    <w:rsid w:val="00135372"/>
    <w:rsid w:val="0014109A"/>
    <w:rsid w:val="00141FA2"/>
    <w:rsid w:val="001425B2"/>
    <w:rsid w:val="00143C06"/>
    <w:rsid w:val="0014412D"/>
    <w:rsid w:val="001441E2"/>
    <w:rsid w:val="001451FC"/>
    <w:rsid w:val="00151974"/>
    <w:rsid w:val="00152260"/>
    <w:rsid w:val="00152778"/>
    <w:rsid w:val="00152CFD"/>
    <w:rsid w:val="0015447F"/>
    <w:rsid w:val="00161536"/>
    <w:rsid w:val="00165471"/>
    <w:rsid w:val="00165B36"/>
    <w:rsid w:val="00165F35"/>
    <w:rsid w:val="00167C8A"/>
    <w:rsid w:val="0017233A"/>
    <w:rsid w:val="00172DCA"/>
    <w:rsid w:val="00173F3D"/>
    <w:rsid w:val="00175686"/>
    <w:rsid w:val="0018769D"/>
    <w:rsid w:val="001934B8"/>
    <w:rsid w:val="001939D7"/>
    <w:rsid w:val="0019404B"/>
    <w:rsid w:val="0019518A"/>
    <w:rsid w:val="00197A9A"/>
    <w:rsid w:val="001A2E93"/>
    <w:rsid w:val="001A31FE"/>
    <w:rsid w:val="001A6234"/>
    <w:rsid w:val="001A715A"/>
    <w:rsid w:val="001A7B8B"/>
    <w:rsid w:val="001B1898"/>
    <w:rsid w:val="001B2148"/>
    <w:rsid w:val="001C0946"/>
    <w:rsid w:val="001C51FD"/>
    <w:rsid w:val="001C5671"/>
    <w:rsid w:val="001C57CD"/>
    <w:rsid w:val="001C60B3"/>
    <w:rsid w:val="001C654A"/>
    <w:rsid w:val="001D2E00"/>
    <w:rsid w:val="001D2E58"/>
    <w:rsid w:val="001D3ABA"/>
    <w:rsid w:val="001D4B12"/>
    <w:rsid w:val="001E058E"/>
    <w:rsid w:val="001E45F5"/>
    <w:rsid w:val="001F09D4"/>
    <w:rsid w:val="001F19B8"/>
    <w:rsid w:val="001F3688"/>
    <w:rsid w:val="002022DB"/>
    <w:rsid w:val="0020391A"/>
    <w:rsid w:val="00203CE2"/>
    <w:rsid w:val="00205D8A"/>
    <w:rsid w:val="00206248"/>
    <w:rsid w:val="00207BDB"/>
    <w:rsid w:val="00207CC6"/>
    <w:rsid w:val="002105CB"/>
    <w:rsid w:val="002118F0"/>
    <w:rsid w:val="0021245A"/>
    <w:rsid w:val="002124AC"/>
    <w:rsid w:val="00213FF1"/>
    <w:rsid w:val="00214058"/>
    <w:rsid w:val="002172CA"/>
    <w:rsid w:val="002231A2"/>
    <w:rsid w:val="00227ABA"/>
    <w:rsid w:val="00243246"/>
    <w:rsid w:val="002435C0"/>
    <w:rsid w:val="00245350"/>
    <w:rsid w:val="002474C2"/>
    <w:rsid w:val="00250FB5"/>
    <w:rsid w:val="00257EEE"/>
    <w:rsid w:val="0026286D"/>
    <w:rsid w:val="00263734"/>
    <w:rsid w:val="00264C17"/>
    <w:rsid w:val="00266602"/>
    <w:rsid w:val="00272D56"/>
    <w:rsid w:val="002739C8"/>
    <w:rsid w:val="0027537E"/>
    <w:rsid w:val="00275EF3"/>
    <w:rsid w:val="002768C3"/>
    <w:rsid w:val="00276A0E"/>
    <w:rsid w:val="00277409"/>
    <w:rsid w:val="00277C73"/>
    <w:rsid w:val="00281E81"/>
    <w:rsid w:val="00282E5F"/>
    <w:rsid w:val="00282FA0"/>
    <w:rsid w:val="00283508"/>
    <w:rsid w:val="00285FE4"/>
    <w:rsid w:val="00287619"/>
    <w:rsid w:val="00290989"/>
    <w:rsid w:val="002926B2"/>
    <w:rsid w:val="00294C59"/>
    <w:rsid w:val="00295484"/>
    <w:rsid w:val="002A0213"/>
    <w:rsid w:val="002A0355"/>
    <w:rsid w:val="002A0EEC"/>
    <w:rsid w:val="002A1217"/>
    <w:rsid w:val="002A1977"/>
    <w:rsid w:val="002A3262"/>
    <w:rsid w:val="002A55B4"/>
    <w:rsid w:val="002A5CEE"/>
    <w:rsid w:val="002B4ACC"/>
    <w:rsid w:val="002B4EEE"/>
    <w:rsid w:val="002B5221"/>
    <w:rsid w:val="002B60FF"/>
    <w:rsid w:val="002C46F8"/>
    <w:rsid w:val="002C5EAF"/>
    <w:rsid w:val="002D2686"/>
    <w:rsid w:val="002D28EB"/>
    <w:rsid w:val="002D4D81"/>
    <w:rsid w:val="002D7BAB"/>
    <w:rsid w:val="002E1A57"/>
    <w:rsid w:val="002E288D"/>
    <w:rsid w:val="002E3199"/>
    <w:rsid w:val="002E4436"/>
    <w:rsid w:val="002E597E"/>
    <w:rsid w:val="002E6CCB"/>
    <w:rsid w:val="002E78E8"/>
    <w:rsid w:val="002F01B9"/>
    <w:rsid w:val="002F1A6B"/>
    <w:rsid w:val="002F252B"/>
    <w:rsid w:val="002F2B96"/>
    <w:rsid w:val="002F36FD"/>
    <w:rsid w:val="002F4F53"/>
    <w:rsid w:val="002F6351"/>
    <w:rsid w:val="00301B01"/>
    <w:rsid w:val="003020EA"/>
    <w:rsid w:val="003068D0"/>
    <w:rsid w:val="003108FD"/>
    <w:rsid w:val="00311642"/>
    <w:rsid w:val="003124ED"/>
    <w:rsid w:val="00313C0D"/>
    <w:rsid w:val="003148E3"/>
    <w:rsid w:val="003161BF"/>
    <w:rsid w:val="00323343"/>
    <w:rsid w:val="00324E3F"/>
    <w:rsid w:val="00327D8A"/>
    <w:rsid w:val="00331C32"/>
    <w:rsid w:val="00331DF5"/>
    <w:rsid w:val="00333E08"/>
    <w:rsid w:val="00333E2B"/>
    <w:rsid w:val="00334F42"/>
    <w:rsid w:val="003367C9"/>
    <w:rsid w:val="00337332"/>
    <w:rsid w:val="003375D6"/>
    <w:rsid w:val="00337F01"/>
    <w:rsid w:val="003429BB"/>
    <w:rsid w:val="00342A11"/>
    <w:rsid w:val="00345721"/>
    <w:rsid w:val="00346874"/>
    <w:rsid w:val="00352E45"/>
    <w:rsid w:val="00355A59"/>
    <w:rsid w:val="00355B67"/>
    <w:rsid w:val="00356269"/>
    <w:rsid w:val="00356A27"/>
    <w:rsid w:val="00357DE8"/>
    <w:rsid w:val="003620F3"/>
    <w:rsid w:val="003622B1"/>
    <w:rsid w:val="0037273A"/>
    <w:rsid w:val="00375D27"/>
    <w:rsid w:val="00375FCC"/>
    <w:rsid w:val="0037640A"/>
    <w:rsid w:val="003828BA"/>
    <w:rsid w:val="00383933"/>
    <w:rsid w:val="003844D5"/>
    <w:rsid w:val="003851BA"/>
    <w:rsid w:val="0038736B"/>
    <w:rsid w:val="0039118C"/>
    <w:rsid w:val="00391329"/>
    <w:rsid w:val="00392C82"/>
    <w:rsid w:val="003A29E9"/>
    <w:rsid w:val="003A40D7"/>
    <w:rsid w:val="003A4215"/>
    <w:rsid w:val="003B281B"/>
    <w:rsid w:val="003C006B"/>
    <w:rsid w:val="003C0A23"/>
    <w:rsid w:val="003C1D62"/>
    <w:rsid w:val="003C1F4A"/>
    <w:rsid w:val="003C2DE9"/>
    <w:rsid w:val="003C3255"/>
    <w:rsid w:val="003C7339"/>
    <w:rsid w:val="003D2102"/>
    <w:rsid w:val="003D3263"/>
    <w:rsid w:val="003D377A"/>
    <w:rsid w:val="003D4C93"/>
    <w:rsid w:val="003D5367"/>
    <w:rsid w:val="003D629C"/>
    <w:rsid w:val="003D63B7"/>
    <w:rsid w:val="003D6A14"/>
    <w:rsid w:val="003F082D"/>
    <w:rsid w:val="003F0B81"/>
    <w:rsid w:val="003F30D0"/>
    <w:rsid w:val="003F69F7"/>
    <w:rsid w:val="0040239F"/>
    <w:rsid w:val="00405BE9"/>
    <w:rsid w:val="0040605B"/>
    <w:rsid w:val="00407D39"/>
    <w:rsid w:val="0041073B"/>
    <w:rsid w:val="0041231B"/>
    <w:rsid w:val="00413A87"/>
    <w:rsid w:val="00415584"/>
    <w:rsid w:val="004164C2"/>
    <w:rsid w:val="00416956"/>
    <w:rsid w:val="00420899"/>
    <w:rsid w:val="00420E01"/>
    <w:rsid w:val="00422A02"/>
    <w:rsid w:val="00424318"/>
    <w:rsid w:val="004245A8"/>
    <w:rsid w:val="00426132"/>
    <w:rsid w:val="00426520"/>
    <w:rsid w:val="004273B8"/>
    <w:rsid w:val="004307E9"/>
    <w:rsid w:val="00430B5D"/>
    <w:rsid w:val="00430C41"/>
    <w:rsid w:val="00431AFB"/>
    <w:rsid w:val="0043243B"/>
    <w:rsid w:val="00433C25"/>
    <w:rsid w:val="004406A8"/>
    <w:rsid w:val="004411BF"/>
    <w:rsid w:val="0044159A"/>
    <w:rsid w:val="0044611C"/>
    <w:rsid w:val="00446BCA"/>
    <w:rsid w:val="00447A48"/>
    <w:rsid w:val="00453AD3"/>
    <w:rsid w:val="0046000E"/>
    <w:rsid w:val="00460AD4"/>
    <w:rsid w:val="00460BE6"/>
    <w:rsid w:val="00465954"/>
    <w:rsid w:val="00470921"/>
    <w:rsid w:val="00470BDA"/>
    <w:rsid w:val="00474A8A"/>
    <w:rsid w:val="00474CDF"/>
    <w:rsid w:val="0047508F"/>
    <w:rsid w:val="00477129"/>
    <w:rsid w:val="00477D9D"/>
    <w:rsid w:val="004810E3"/>
    <w:rsid w:val="00481D16"/>
    <w:rsid w:val="00483112"/>
    <w:rsid w:val="004833C7"/>
    <w:rsid w:val="00483681"/>
    <w:rsid w:val="0048593C"/>
    <w:rsid w:val="00486377"/>
    <w:rsid w:val="004868E6"/>
    <w:rsid w:val="0049571C"/>
    <w:rsid w:val="0049648C"/>
    <w:rsid w:val="00496A4C"/>
    <w:rsid w:val="00496BB4"/>
    <w:rsid w:val="004A1678"/>
    <w:rsid w:val="004A4AB7"/>
    <w:rsid w:val="004A4B54"/>
    <w:rsid w:val="004A5EF7"/>
    <w:rsid w:val="004A5EFC"/>
    <w:rsid w:val="004A78F5"/>
    <w:rsid w:val="004B0FA6"/>
    <w:rsid w:val="004B69CE"/>
    <w:rsid w:val="004C2532"/>
    <w:rsid w:val="004C303E"/>
    <w:rsid w:val="004C5325"/>
    <w:rsid w:val="004D07A1"/>
    <w:rsid w:val="004D07EA"/>
    <w:rsid w:val="004D0BF9"/>
    <w:rsid w:val="004D2680"/>
    <w:rsid w:val="004E1F8D"/>
    <w:rsid w:val="004E1FAE"/>
    <w:rsid w:val="004E37C0"/>
    <w:rsid w:val="004E3A82"/>
    <w:rsid w:val="004E4482"/>
    <w:rsid w:val="004E4601"/>
    <w:rsid w:val="004E606C"/>
    <w:rsid w:val="004F16AF"/>
    <w:rsid w:val="004F3C9B"/>
    <w:rsid w:val="004F6784"/>
    <w:rsid w:val="004F6F1D"/>
    <w:rsid w:val="004F6FCA"/>
    <w:rsid w:val="004F7848"/>
    <w:rsid w:val="00501C71"/>
    <w:rsid w:val="005047C8"/>
    <w:rsid w:val="005068C0"/>
    <w:rsid w:val="0051213D"/>
    <w:rsid w:val="00512684"/>
    <w:rsid w:val="00512BD6"/>
    <w:rsid w:val="00514B3D"/>
    <w:rsid w:val="00515E36"/>
    <w:rsid w:val="00516010"/>
    <w:rsid w:val="00517647"/>
    <w:rsid w:val="00521539"/>
    <w:rsid w:val="00521E82"/>
    <w:rsid w:val="0052416A"/>
    <w:rsid w:val="00525794"/>
    <w:rsid w:val="00525EE4"/>
    <w:rsid w:val="00525F78"/>
    <w:rsid w:val="00527C75"/>
    <w:rsid w:val="005300C6"/>
    <w:rsid w:val="0053130D"/>
    <w:rsid w:val="00532E8A"/>
    <w:rsid w:val="00533214"/>
    <w:rsid w:val="00537668"/>
    <w:rsid w:val="00540FE8"/>
    <w:rsid w:val="00543831"/>
    <w:rsid w:val="00547AF5"/>
    <w:rsid w:val="00551311"/>
    <w:rsid w:val="005552B6"/>
    <w:rsid w:val="00556FB7"/>
    <w:rsid w:val="00557F0A"/>
    <w:rsid w:val="00564687"/>
    <w:rsid w:val="00564E5F"/>
    <w:rsid w:val="00571338"/>
    <w:rsid w:val="00575784"/>
    <w:rsid w:val="00576544"/>
    <w:rsid w:val="0057659E"/>
    <w:rsid w:val="005768D9"/>
    <w:rsid w:val="00577FF1"/>
    <w:rsid w:val="00584476"/>
    <w:rsid w:val="005852A1"/>
    <w:rsid w:val="00590039"/>
    <w:rsid w:val="00590091"/>
    <w:rsid w:val="00593B92"/>
    <w:rsid w:val="00594BC4"/>
    <w:rsid w:val="005969A5"/>
    <w:rsid w:val="005A0A05"/>
    <w:rsid w:val="005A3A7C"/>
    <w:rsid w:val="005A4D94"/>
    <w:rsid w:val="005B06D6"/>
    <w:rsid w:val="005B0B20"/>
    <w:rsid w:val="005B5A69"/>
    <w:rsid w:val="005B6639"/>
    <w:rsid w:val="005B67F3"/>
    <w:rsid w:val="005C07A9"/>
    <w:rsid w:val="005C628A"/>
    <w:rsid w:val="005C7445"/>
    <w:rsid w:val="005C7780"/>
    <w:rsid w:val="005D1559"/>
    <w:rsid w:val="005D357C"/>
    <w:rsid w:val="005D6F13"/>
    <w:rsid w:val="005D7ED6"/>
    <w:rsid w:val="005E0F3E"/>
    <w:rsid w:val="005E1922"/>
    <w:rsid w:val="005E1AE9"/>
    <w:rsid w:val="005E2693"/>
    <w:rsid w:val="005E2E6C"/>
    <w:rsid w:val="005E3A5E"/>
    <w:rsid w:val="005F2260"/>
    <w:rsid w:val="005F2DF7"/>
    <w:rsid w:val="005F2E9A"/>
    <w:rsid w:val="005F388F"/>
    <w:rsid w:val="005F4524"/>
    <w:rsid w:val="005F63DB"/>
    <w:rsid w:val="005F6CE2"/>
    <w:rsid w:val="00604624"/>
    <w:rsid w:val="00604F26"/>
    <w:rsid w:val="006055B3"/>
    <w:rsid w:val="00605CAB"/>
    <w:rsid w:val="0060658C"/>
    <w:rsid w:val="0061080C"/>
    <w:rsid w:val="00611CA7"/>
    <w:rsid w:val="00621091"/>
    <w:rsid w:val="00621D24"/>
    <w:rsid w:val="00622147"/>
    <w:rsid w:val="006239F9"/>
    <w:rsid w:val="006277E2"/>
    <w:rsid w:val="006316E2"/>
    <w:rsid w:val="0063414A"/>
    <w:rsid w:val="0063640A"/>
    <w:rsid w:val="006367F3"/>
    <w:rsid w:val="0063681A"/>
    <w:rsid w:val="006412BA"/>
    <w:rsid w:val="00642744"/>
    <w:rsid w:val="00644C80"/>
    <w:rsid w:val="00645C0D"/>
    <w:rsid w:val="00645CEC"/>
    <w:rsid w:val="00646F56"/>
    <w:rsid w:val="006474DE"/>
    <w:rsid w:val="00652B62"/>
    <w:rsid w:val="0065322A"/>
    <w:rsid w:val="00654894"/>
    <w:rsid w:val="00654DAE"/>
    <w:rsid w:val="00656DAC"/>
    <w:rsid w:val="0065764A"/>
    <w:rsid w:val="00662D6C"/>
    <w:rsid w:val="006632DE"/>
    <w:rsid w:val="0066520F"/>
    <w:rsid w:val="00666412"/>
    <w:rsid w:val="00670484"/>
    <w:rsid w:val="00671269"/>
    <w:rsid w:val="0067453F"/>
    <w:rsid w:val="00676304"/>
    <w:rsid w:val="00680568"/>
    <w:rsid w:val="0068293E"/>
    <w:rsid w:val="00683950"/>
    <w:rsid w:val="00684E82"/>
    <w:rsid w:val="00686565"/>
    <w:rsid w:val="00686FDE"/>
    <w:rsid w:val="00690A10"/>
    <w:rsid w:val="0069459A"/>
    <w:rsid w:val="00696468"/>
    <w:rsid w:val="006A0BD7"/>
    <w:rsid w:val="006A3F52"/>
    <w:rsid w:val="006A4532"/>
    <w:rsid w:val="006A4A6E"/>
    <w:rsid w:val="006A4CBC"/>
    <w:rsid w:val="006A6895"/>
    <w:rsid w:val="006A69F0"/>
    <w:rsid w:val="006B3AF9"/>
    <w:rsid w:val="006B3C4A"/>
    <w:rsid w:val="006B5359"/>
    <w:rsid w:val="006B5AD5"/>
    <w:rsid w:val="006B7402"/>
    <w:rsid w:val="006C04A6"/>
    <w:rsid w:val="006C18B7"/>
    <w:rsid w:val="006C478A"/>
    <w:rsid w:val="006C4D28"/>
    <w:rsid w:val="006C596F"/>
    <w:rsid w:val="006D00A4"/>
    <w:rsid w:val="006D127D"/>
    <w:rsid w:val="006D1707"/>
    <w:rsid w:val="006D4527"/>
    <w:rsid w:val="006D4BBB"/>
    <w:rsid w:val="006D53F8"/>
    <w:rsid w:val="006E0238"/>
    <w:rsid w:val="006E3BEB"/>
    <w:rsid w:val="006E621C"/>
    <w:rsid w:val="006F2366"/>
    <w:rsid w:val="006F2F31"/>
    <w:rsid w:val="006F459F"/>
    <w:rsid w:val="006F55CD"/>
    <w:rsid w:val="006F74FE"/>
    <w:rsid w:val="00705D9A"/>
    <w:rsid w:val="00712248"/>
    <w:rsid w:val="00713272"/>
    <w:rsid w:val="0071563B"/>
    <w:rsid w:val="00715FCD"/>
    <w:rsid w:val="00721D25"/>
    <w:rsid w:val="00722DFA"/>
    <w:rsid w:val="007301BA"/>
    <w:rsid w:val="0073077B"/>
    <w:rsid w:val="00730DE3"/>
    <w:rsid w:val="00731688"/>
    <w:rsid w:val="007319C5"/>
    <w:rsid w:val="00731E42"/>
    <w:rsid w:val="007354F0"/>
    <w:rsid w:val="00736A41"/>
    <w:rsid w:val="00736C62"/>
    <w:rsid w:val="0074285C"/>
    <w:rsid w:val="007432F2"/>
    <w:rsid w:val="00744F16"/>
    <w:rsid w:val="007453AC"/>
    <w:rsid w:val="007478EB"/>
    <w:rsid w:val="00751299"/>
    <w:rsid w:val="007514A4"/>
    <w:rsid w:val="007555AA"/>
    <w:rsid w:val="007569F2"/>
    <w:rsid w:val="00763CD8"/>
    <w:rsid w:val="007717F2"/>
    <w:rsid w:val="00771E71"/>
    <w:rsid w:val="00774316"/>
    <w:rsid w:val="00775CA8"/>
    <w:rsid w:val="00783414"/>
    <w:rsid w:val="0078602C"/>
    <w:rsid w:val="0078664C"/>
    <w:rsid w:val="0078726A"/>
    <w:rsid w:val="00787B8C"/>
    <w:rsid w:val="007903DE"/>
    <w:rsid w:val="00792301"/>
    <w:rsid w:val="00793DF8"/>
    <w:rsid w:val="007972D2"/>
    <w:rsid w:val="007A7741"/>
    <w:rsid w:val="007B0F49"/>
    <w:rsid w:val="007B2B66"/>
    <w:rsid w:val="007B448B"/>
    <w:rsid w:val="007C0141"/>
    <w:rsid w:val="007C05B3"/>
    <w:rsid w:val="007C0E41"/>
    <w:rsid w:val="007C4767"/>
    <w:rsid w:val="007C53F7"/>
    <w:rsid w:val="007C7AF1"/>
    <w:rsid w:val="007C7CBE"/>
    <w:rsid w:val="007D0E9A"/>
    <w:rsid w:val="007D2633"/>
    <w:rsid w:val="007D2C7A"/>
    <w:rsid w:val="007D47C1"/>
    <w:rsid w:val="007D4B14"/>
    <w:rsid w:val="007D4F5D"/>
    <w:rsid w:val="007D50D6"/>
    <w:rsid w:val="007D5C87"/>
    <w:rsid w:val="007D7B18"/>
    <w:rsid w:val="007E108A"/>
    <w:rsid w:val="007E201A"/>
    <w:rsid w:val="007E3AE0"/>
    <w:rsid w:val="007F1F72"/>
    <w:rsid w:val="007F29AD"/>
    <w:rsid w:val="007F4D24"/>
    <w:rsid w:val="007F52A5"/>
    <w:rsid w:val="007F658A"/>
    <w:rsid w:val="007F6972"/>
    <w:rsid w:val="00800AB6"/>
    <w:rsid w:val="008021B8"/>
    <w:rsid w:val="008054E0"/>
    <w:rsid w:val="008060AE"/>
    <w:rsid w:val="00810E84"/>
    <w:rsid w:val="00813CAC"/>
    <w:rsid w:val="0081520F"/>
    <w:rsid w:val="008156B2"/>
    <w:rsid w:val="00815A24"/>
    <w:rsid w:val="00823116"/>
    <w:rsid w:val="008231DD"/>
    <w:rsid w:val="00825857"/>
    <w:rsid w:val="00826312"/>
    <w:rsid w:val="00826775"/>
    <w:rsid w:val="00831D21"/>
    <w:rsid w:val="00831D8E"/>
    <w:rsid w:val="00831E6B"/>
    <w:rsid w:val="008331CD"/>
    <w:rsid w:val="0083417A"/>
    <w:rsid w:val="00834DE3"/>
    <w:rsid w:val="0083613D"/>
    <w:rsid w:val="00837AAB"/>
    <w:rsid w:val="008413E3"/>
    <w:rsid w:val="00841B78"/>
    <w:rsid w:val="00842225"/>
    <w:rsid w:val="00844756"/>
    <w:rsid w:val="0084555A"/>
    <w:rsid w:val="00847A84"/>
    <w:rsid w:val="0085085F"/>
    <w:rsid w:val="0085138B"/>
    <w:rsid w:val="0085155C"/>
    <w:rsid w:val="00854680"/>
    <w:rsid w:val="0085721F"/>
    <w:rsid w:val="00857FE3"/>
    <w:rsid w:val="00864A71"/>
    <w:rsid w:val="0087315B"/>
    <w:rsid w:val="00873F72"/>
    <w:rsid w:val="00874323"/>
    <w:rsid w:val="008755A7"/>
    <w:rsid w:val="00875B3C"/>
    <w:rsid w:val="00876B5F"/>
    <w:rsid w:val="00883258"/>
    <w:rsid w:val="008832A5"/>
    <w:rsid w:val="0088535C"/>
    <w:rsid w:val="00887695"/>
    <w:rsid w:val="0089066D"/>
    <w:rsid w:val="008956FF"/>
    <w:rsid w:val="008A4D45"/>
    <w:rsid w:val="008A5C9B"/>
    <w:rsid w:val="008A65D9"/>
    <w:rsid w:val="008A6F3C"/>
    <w:rsid w:val="008B08BE"/>
    <w:rsid w:val="008B1A9B"/>
    <w:rsid w:val="008B242E"/>
    <w:rsid w:val="008B2548"/>
    <w:rsid w:val="008B5FC9"/>
    <w:rsid w:val="008C16E2"/>
    <w:rsid w:val="008C5232"/>
    <w:rsid w:val="008C54D6"/>
    <w:rsid w:val="008C558F"/>
    <w:rsid w:val="008D035A"/>
    <w:rsid w:val="008D1277"/>
    <w:rsid w:val="008D2740"/>
    <w:rsid w:val="008D3849"/>
    <w:rsid w:val="008D3CCF"/>
    <w:rsid w:val="008D529B"/>
    <w:rsid w:val="008D730E"/>
    <w:rsid w:val="008E208C"/>
    <w:rsid w:val="008E2707"/>
    <w:rsid w:val="008E3743"/>
    <w:rsid w:val="008E4B4F"/>
    <w:rsid w:val="008E5751"/>
    <w:rsid w:val="008E5F52"/>
    <w:rsid w:val="008E698F"/>
    <w:rsid w:val="008F00FA"/>
    <w:rsid w:val="008F0415"/>
    <w:rsid w:val="008F0A9E"/>
    <w:rsid w:val="008F58EF"/>
    <w:rsid w:val="008F6701"/>
    <w:rsid w:val="00902A7B"/>
    <w:rsid w:val="009062DC"/>
    <w:rsid w:val="00912215"/>
    <w:rsid w:val="00912551"/>
    <w:rsid w:val="00912734"/>
    <w:rsid w:val="00912CFE"/>
    <w:rsid w:val="00913276"/>
    <w:rsid w:val="00914585"/>
    <w:rsid w:val="00914965"/>
    <w:rsid w:val="00917A00"/>
    <w:rsid w:val="00920034"/>
    <w:rsid w:val="009207FD"/>
    <w:rsid w:val="00921E75"/>
    <w:rsid w:val="00924A9C"/>
    <w:rsid w:val="00925ABB"/>
    <w:rsid w:val="0093044C"/>
    <w:rsid w:val="009322BF"/>
    <w:rsid w:val="00934329"/>
    <w:rsid w:val="00940E8E"/>
    <w:rsid w:val="00940F03"/>
    <w:rsid w:val="00941090"/>
    <w:rsid w:val="00942820"/>
    <w:rsid w:val="00943EB8"/>
    <w:rsid w:val="00944999"/>
    <w:rsid w:val="00944A8D"/>
    <w:rsid w:val="00950118"/>
    <w:rsid w:val="00950B9F"/>
    <w:rsid w:val="00956ADC"/>
    <w:rsid w:val="009571FD"/>
    <w:rsid w:val="00960C04"/>
    <w:rsid w:val="009625C3"/>
    <w:rsid w:val="00964E7F"/>
    <w:rsid w:val="009651D2"/>
    <w:rsid w:val="0096551A"/>
    <w:rsid w:val="009667AC"/>
    <w:rsid w:val="00967A89"/>
    <w:rsid w:val="00970ACD"/>
    <w:rsid w:val="009725E4"/>
    <w:rsid w:val="00972814"/>
    <w:rsid w:val="00972FF6"/>
    <w:rsid w:val="00973F1B"/>
    <w:rsid w:val="009807B9"/>
    <w:rsid w:val="009807CE"/>
    <w:rsid w:val="009831BB"/>
    <w:rsid w:val="0098551A"/>
    <w:rsid w:val="009857E9"/>
    <w:rsid w:val="009859E8"/>
    <w:rsid w:val="009863D0"/>
    <w:rsid w:val="0099204F"/>
    <w:rsid w:val="009A440A"/>
    <w:rsid w:val="009A7173"/>
    <w:rsid w:val="009A75BE"/>
    <w:rsid w:val="009B02DB"/>
    <w:rsid w:val="009B1ECD"/>
    <w:rsid w:val="009B3384"/>
    <w:rsid w:val="009B4D6D"/>
    <w:rsid w:val="009B6C64"/>
    <w:rsid w:val="009B6E40"/>
    <w:rsid w:val="009C28F9"/>
    <w:rsid w:val="009C2D3B"/>
    <w:rsid w:val="009C4130"/>
    <w:rsid w:val="009C4CC1"/>
    <w:rsid w:val="009C54DE"/>
    <w:rsid w:val="009D16EB"/>
    <w:rsid w:val="009D1A73"/>
    <w:rsid w:val="009E5476"/>
    <w:rsid w:val="009F0472"/>
    <w:rsid w:val="009F14A2"/>
    <w:rsid w:val="009F239C"/>
    <w:rsid w:val="009F6A32"/>
    <w:rsid w:val="00A020CF"/>
    <w:rsid w:val="00A0302F"/>
    <w:rsid w:val="00A0383C"/>
    <w:rsid w:val="00A04A7C"/>
    <w:rsid w:val="00A07B67"/>
    <w:rsid w:val="00A10BF5"/>
    <w:rsid w:val="00A15EC1"/>
    <w:rsid w:val="00A1710D"/>
    <w:rsid w:val="00A2079C"/>
    <w:rsid w:val="00A21A25"/>
    <w:rsid w:val="00A23399"/>
    <w:rsid w:val="00A26CCD"/>
    <w:rsid w:val="00A27D39"/>
    <w:rsid w:val="00A32448"/>
    <w:rsid w:val="00A32ABE"/>
    <w:rsid w:val="00A369A5"/>
    <w:rsid w:val="00A40962"/>
    <w:rsid w:val="00A42708"/>
    <w:rsid w:val="00A44E15"/>
    <w:rsid w:val="00A463C4"/>
    <w:rsid w:val="00A50BC2"/>
    <w:rsid w:val="00A600BA"/>
    <w:rsid w:val="00A628D3"/>
    <w:rsid w:val="00A63F98"/>
    <w:rsid w:val="00A65089"/>
    <w:rsid w:val="00A70282"/>
    <w:rsid w:val="00A71096"/>
    <w:rsid w:val="00A71A39"/>
    <w:rsid w:val="00A75B3F"/>
    <w:rsid w:val="00A80DA6"/>
    <w:rsid w:val="00A846A5"/>
    <w:rsid w:val="00A85BCB"/>
    <w:rsid w:val="00A95265"/>
    <w:rsid w:val="00A959F8"/>
    <w:rsid w:val="00A9761D"/>
    <w:rsid w:val="00AA1960"/>
    <w:rsid w:val="00AA2AAF"/>
    <w:rsid w:val="00AA3039"/>
    <w:rsid w:val="00AA35E8"/>
    <w:rsid w:val="00AA4E43"/>
    <w:rsid w:val="00AA5A0B"/>
    <w:rsid w:val="00AB5E7C"/>
    <w:rsid w:val="00AB67ED"/>
    <w:rsid w:val="00AC15E6"/>
    <w:rsid w:val="00AC2EBB"/>
    <w:rsid w:val="00AC34FF"/>
    <w:rsid w:val="00AC5FF7"/>
    <w:rsid w:val="00AC776F"/>
    <w:rsid w:val="00AD1B9A"/>
    <w:rsid w:val="00AD272C"/>
    <w:rsid w:val="00AD381C"/>
    <w:rsid w:val="00AD3AAE"/>
    <w:rsid w:val="00AE06B1"/>
    <w:rsid w:val="00AE457E"/>
    <w:rsid w:val="00AE4EFB"/>
    <w:rsid w:val="00AE5DE0"/>
    <w:rsid w:val="00AF1933"/>
    <w:rsid w:val="00B0063D"/>
    <w:rsid w:val="00B0126B"/>
    <w:rsid w:val="00B03B47"/>
    <w:rsid w:val="00B03EFA"/>
    <w:rsid w:val="00B04388"/>
    <w:rsid w:val="00B07039"/>
    <w:rsid w:val="00B07642"/>
    <w:rsid w:val="00B07A6D"/>
    <w:rsid w:val="00B141A4"/>
    <w:rsid w:val="00B14890"/>
    <w:rsid w:val="00B165AD"/>
    <w:rsid w:val="00B16FE3"/>
    <w:rsid w:val="00B20FC3"/>
    <w:rsid w:val="00B21836"/>
    <w:rsid w:val="00B22547"/>
    <w:rsid w:val="00B24B17"/>
    <w:rsid w:val="00B26850"/>
    <w:rsid w:val="00B26E75"/>
    <w:rsid w:val="00B27C6D"/>
    <w:rsid w:val="00B309F4"/>
    <w:rsid w:val="00B30CF0"/>
    <w:rsid w:val="00B332DA"/>
    <w:rsid w:val="00B36483"/>
    <w:rsid w:val="00B43301"/>
    <w:rsid w:val="00B46DB3"/>
    <w:rsid w:val="00B52F70"/>
    <w:rsid w:val="00B55C58"/>
    <w:rsid w:val="00B55FC0"/>
    <w:rsid w:val="00B57CD5"/>
    <w:rsid w:val="00B600F3"/>
    <w:rsid w:val="00B6056D"/>
    <w:rsid w:val="00B60837"/>
    <w:rsid w:val="00B60B16"/>
    <w:rsid w:val="00B611A5"/>
    <w:rsid w:val="00B64E9E"/>
    <w:rsid w:val="00B66171"/>
    <w:rsid w:val="00B661DF"/>
    <w:rsid w:val="00B67B59"/>
    <w:rsid w:val="00B71468"/>
    <w:rsid w:val="00B718B0"/>
    <w:rsid w:val="00B71CF4"/>
    <w:rsid w:val="00B7326E"/>
    <w:rsid w:val="00B73AFE"/>
    <w:rsid w:val="00B7445C"/>
    <w:rsid w:val="00B7524E"/>
    <w:rsid w:val="00B86132"/>
    <w:rsid w:val="00B8644B"/>
    <w:rsid w:val="00B864D3"/>
    <w:rsid w:val="00B87FB0"/>
    <w:rsid w:val="00B91C2C"/>
    <w:rsid w:val="00B91ED7"/>
    <w:rsid w:val="00B948CD"/>
    <w:rsid w:val="00B96783"/>
    <w:rsid w:val="00B97980"/>
    <w:rsid w:val="00BA002C"/>
    <w:rsid w:val="00BA0969"/>
    <w:rsid w:val="00BA1BAF"/>
    <w:rsid w:val="00BA2655"/>
    <w:rsid w:val="00BA4D67"/>
    <w:rsid w:val="00BA50AE"/>
    <w:rsid w:val="00BA5B95"/>
    <w:rsid w:val="00BB1BC2"/>
    <w:rsid w:val="00BB2601"/>
    <w:rsid w:val="00BC207B"/>
    <w:rsid w:val="00BC42E6"/>
    <w:rsid w:val="00BC4E0F"/>
    <w:rsid w:val="00BC5684"/>
    <w:rsid w:val="00BC5CF4"/>
    <w:rsid w:val="00BD0E61"/>
    <w:rsid w:val="00BD4936"/>
    <w:rsid w:val="00BD4DB5"/>
    <w:rsid w:val="00BD56E6"/>
    <w:rsid w:val="00BD77D9"/>
    <w:rsid w:val="00BE09F6"/>
    <w:rsid w:val="00BE0BDB"/>
    <w:rsid w:val="00BE2FA3"/>
    <w:rsid w:val="00BE6DEF"/>
    <w:rsid w:val="00BF0434"/>
    <w:rsid w:val="00BF1350"/>
    <w:rsid w:val="00BF481C"/>
    <w:rsid w:val="00BF59B4"/>
    <w:rsid w:val="00BF6754"/>
    <w:rsid w:val="00BF79D6"/>
    <w:rsid w:val="00C014A2"/>
    <w:rsid w:val="00C04035"/>
    <w:rsid w:val="00C04309"/>
    <w:rsid w:val="00C05112"/>
    <w:rsid w:val="00C051E9"/>
    <w:rsid w:val="00C06647"/>
    <w:rsid w:val="00C13DBB"/>
    <w:rsid w:val="00C170DC"/>
    <w:rsid w:val="00C17D33"/>
    <w:rsid w:val="00C201FC"/>
    <w:rsid w:val="00C2072E"/>
    <w:rsid w:val="00C218BA"/>
    <w:rsid w:val="00C223F4"/>
    <w:rsid w:val="00C25C7D"/>
    <w:rsid w:val="00C2642E"/>
    <w:rsid w:val="00C278FA"/>
    <w:rsid w:val="00C27D77"/>
    <w:rsid w:val="00C34A6E"/>
    <w:rsid w:val="00C34FF3"/>
    <w:rsid w:val="00C4006B"/>
    <w:rsid w:val="00C42B09"/>
    <w:rsid w:val="00C432A1"/>
    <w:rsid w:val="00C4406F"/>
    <w:rsid w:val="00C44795"/>
    <w:rsid w:val="00C459BD"/>
    <w:rsid w:val="00C477D2"/>
    <w:rsid w:val="00C51008"/>
    <w:rsid w:val="00C529E4"/>
    <w:rsid w:val="00C52D20"/>
    <w:rsid w:val="00C53D65"/>
    <w:rsid w:val="00C54855"/>
    <w:rsid w:val="00C55752"/>
    <w:rsid w:val="00C57D9F"/>
    <w:rsid w:val="00C61681"/>
    <w:rsid w:val="00C61E75"/>
    <w:rsid w:val="00C66B38"/>
    <w:rsid w:val="00C7290F"/>
    <w:rsid w:val="00C73D43"/>
    <w:rsid w:val="00C77263"/>
    <w:rsid w:val="00C773D1"/>
    <w:rsid w:val="00C82053"/>
    <w:rsid w:val="00C85C19"/>
    <w:rsid w:val="00C85CCF"/>
    <w:rsid w:val="00C860C7"/>
    <w:rsid w:val="00C870C1"/>
    <w:rsid w:val="00C872F8"/>
    <w:rsid w:val="00C87E69"/>
    <w:rsid w:val="00C90D75"/>
    <w:rsid w:val="00C91B00"/>
    <w:rsid w:val="00C91E69"/>
    <w:rsid w:val="00C944C0"/>
    <w:rsid w:val="00C94E5D"/>
    <w:rsid w:val="00CB0430"/>
    <w:rsid w:val="00CB11AD"/>
    <w:rsid w:val="00CB429D"/>
    <w:rsid w:val="00CC20A8"/>
    <w:rsid w:val="00CC21F4"/>
    <w:rsid w:val="00CC2443"/>
    <w:rsid w:val="00CC4837"/>
    <w:rsid w:val="00CC5435"/>
    <w:rsid w:val="00CD1C97"/>
    <w:rsid w:val="00CD2268"/>
    <w:rsid w:val="00CD26C8"/>
    <w:rsid w:val="00CD6084"/>
    <w:rsid w:val="00CD641E"/>
    <w:rsid w:val="00CE1E1B"/>
    <w:rsid w:val="00CE766A"/>
    <w:rsid w:val="00CF1FA1"/>
    <w:rsid w:val="00CF3D89"/>
    <w:rsid w:val="00CF5A7A"/>
    <w:rsid w:val="00CF74B5"/>
    <w:rsid w:val="00D0602E"/>
    <w:rsid w:val="00D063FB"/>
    <w:rsid w:val="00D1539E"/>
    <w:rsid w:val="00D168C0"/>
    <w:rsid w:val="00D21B6F"/>
    <w:rsid w:val="00D21FD8"/>
    <w:rsid w:val="00D22430"/>
    <w:rsid w:val="00D22A37"/>
    <w:rsid w:val="00D24324"/>
    <w:rsid w:val="00D2465B"/>
    <w:rsid w:val="00D24C03"/>
    <w:rsid w:val="00D2532A"/>
    <w:rsid w:val="00D260C6"/>
    <w:rsid w:val="00D319EC"/>
    <w:rsid w:val="00D3254E"/>
    <w:rsid w:val="00D32D96"/>
    <w:rsid w:val="00D3322E"/>
    <w:rsid w:val="00D33A0C"/>
    <w:rsid w:val="00D3429E"/>
    <w:rsid w:val="00D35378"/>
    <w:rsid w:val="00D354DB"/>
    <w:rsid w:val="00D36A4F"/>
    <w:rsid w:val="00D3720C"/>
    <w:rsid w:val="00D40BA9"/>
    <w:rsid w:val="00D41899"/>
    <w:rsid w:val="00D51E77"/>
    <w:rsid w:val="00D52724"/>
    <w:rsid w:val="00D52B14"/>
    <w:rsid w:val="00D547CF"/>
    <w:rsid w:val="00D564CD"/>
    <w:rsid w:val="00D61DAB"/>
    <w:rsid w:val="00D62E44"/>
    <w:rsid w:val="00D635A4"/>
    <w:rsid w:val="00D64411"/>
    <w:rsid w:val="00D650D8"/>
    <w:rsid w:val="00D65ABC"/>
    <w:rsid w:val="00D676EF"/>
    <w:rsid w:val="00D70275"/>
    <w:rsid w:val="00D729C6"/>
    <w:rsid w:val="00D77B84"/>
    <w:rsid w:val="00D8182C"/>
    <w:rsid w:val="00D819E3"/>
    <w:rsid w:val="00D841A4"/>
    <w:rsid w:val="00D84EF6"/>
    <w:rsid w:val="00D8591F"/>
    <w:rsid w:val="00D92177"/>
    <w:rsid w:val="00D92C19"/>
    <w:rsid w:val="00D92E39"/>
    <w:rsid w:val="00D92EC6"/>
    <w:rsid w:val="00D93100"/>
    <w:rsid w:val="00D935B8"/>
    <w:rsid w:val="00D9561C"/>
    <w:rsid w:val="00D97130"/>
    <w:rsid w:val="00D97209"/>
    <w:rsid w:val="00DA2A3F"/>
    <w:rsid w:val="00DA373F"/>
    <w:rsid w:val="00DA4BFA"/>
    <w:rsid w:val="00DA554E"/>
    <w:rsid w:val="00DA5FAC"/>
    <w:rsid w:val="00DA63A5"/>
    <w:rsid w:val="00DA67B5"/>
    <w:rsid w:val="00DB214E"/>
    <w:rsid w:val="00DB48FF"/>
    <w:rsid w:val="00DC26B9"/>
    <w:rsid w:val="00DC49F1"/>
    <w:rsid w:val="00DC502A"/>
    <w:rsid w:val="00DC5C68"/>
    <w:rsid w:val="00DC6F9F"/>
    <w:rsid w:val="00DD66FE"/>
    <w:rsid w:val="00DE04FC"/>
    <w:rsid w:val="00DE34E1"/>
    <w:rsid w:val="00DE35D5"/>
    <w:rsid w:val="00DE5340"/>
    <w:rsid w:val="00DE661C"/>
    <w:rsid w:val="00DF479F"/>
    <w:rsid w:val="00DF62D5"/>
    <w:rsid w:val="00DF6C61"/>
    <w:rsid w:val="00DF6F43"/>
    <w:rsid w:val="00E014D6"/>
    <w:rsid w:val="00E03B2D"/>
    <w:rsid w:val="00E053B9"/>
    <w:rsid w:val="00E10529"/>
    <w:rsid w:val="00E10CB1"/>
    <w:rsid w:val="00E14963"/>
    <w:rsid w:val="00E14C15"/>
    <w:rsid w:val="00E15A19"/>
    <w:rsid w:val="00E16A39"/>
    <w:rsid w:val="00E17C80"/>
    <w:rsid w:val="00E17EEF"/>
    <w:rsid w:val="00E22C14"/>
    <w:rsid w:val="00E25FB3"/>
    <w:rsid w:val="00E301E5"/>
    <w:rsid w:val="00E3278E"/>
    <w:rsid w:val="00E34000"/>
    <w:rsid w:val="00E34155"/>
    <w:rsid w:val="00E356B3"/>
    <w:rsid w:val="00E36AFC"/>
    <w:rsid w:val="00E37718"/>
    <w:rsid w:val="00E41291"/>
    <w:rsid w:val="00E424F4"/>
    <w:rsid w:val="00E435ED"/>
    <w:rsid w:val="00E44641"/>
    <w:rsid w:val="00E454D8"/>
    <w:rsid w:val="00E475D7"/>
    <w:rsid w:val="00E50BB8"/>
    <w:rsid w:val="00E534A0"/>
    <w:rsid w:val="00E600DD"/>
    <w:rsid w:val="00E6118D"/>
    <w:rsid w:val="00E62176"/>
    <w:rsid w:val="00E626B6"/>
    <w:rsid w:val="00E6314C"/>
    <w:rsid w:val="00E63961"/>
    <w:rsid w:val="00E7373F"/>
    <w:rsid w:val="00E73B42"/>
    <w:rsid w:val="00E765FD"/>
    <w:rsid w:val="00E80E56"/>
    <w:rsid w:val="00E81084"/>
    <w:rsid w:val="00E824D3"/>
    <w:rsid w:val="00E83E95"/>
    <w:rsid w:val="00E8427F"/>
    <w:rsid w:val="00E84FFE"/>
    <w:rsid w:val="00E8584A"/>
    <w:rsid w:val="00E85C8C"/>
    <w:rsid w:val="00E86210"/>
    <w:rsid w:val="00E870B7"/>
    <w:rsid w:val="00E876FD"/>
    <w:rsid w:val="00E918E1"/>
    <w:rsid w:val="00E939D1"/>
    <w:rsid w:val="00E95CC5"/>
    <w:rsid w:val="00E96AF3"/>
    <w:rsid w:val="00EA29C8"/>
    <w:rsid w:val="00EA2DDF"/>
    <w:rsid w:val="00EA40CF"/>
    <w:rsid w:val="00EA479E"/>
    <w:rsid w:val="00EA5392"/>
    <w:rsid w:val="00EA5B26"/>
    <w:rsid w:val="00EB0C19"/>
    <w:rsid w:val="00EB1190"/>
    <w:rsid w:val="00EB54BE"/>
    <w:rsid w:val="00EB5A92"/>
    <w:rsid w:val="00EB6007"/>
    <w:rsid w:val="00EB70D9"/>
    <w:rsid w:val="00EC173D"/>
    <w:rsid w:val="00EC386C"/>
    <w:rsid w:val="00EC41D3"/>
    <w:rsid w:val="00EC5431"/>
    <w:rsid w:val="00ED0D9B"/>
    <w:rsid w:val="00ED1AA4"/>
    <w:rsid w:val="00ED258A"/>
    <w:rsid w:val="00ED4D03"/>
    <w:rsid w:val="00EE1D9A"/>
    <w:rsid w:val="00EE24EF"/>
    <w:rsid w:val="00EE74C7"/>
    <w:rsid w:val="00EF0087"/>
    <w:rsid w:val="00EF0224"/>
    <w:rsid w:val="00EF070B"/>
    <w:rsid w:val="00EF20E0"/>
    <w:rsid w:val="00EF4A3E"/>
    <w:rsid w:val="00EF51E8"/>
    <w:rsid w:val="00EF5862"/>
    <w:rsid w:val="00EF5E0C"/>
    <w:rsid w:val="00F0027C"/>
    <w:rsid w:val="00F0052C"/>
    <w:rsid w:val="00F069A7"/>
    <w:rsid w:val="00F0774F"/>
    <w:rsid w:val="00F10A99"/>
    <w:rsid w:val="00F10BD2"/>
    <w:rsid w:val="00F1133E"/>
    <w:rsid w:val="00F146CB"/>
    <w:rsid w:val="00F17E50"/>
    <w:rsid w:val="00F207C7"/>
    <w:rsid w:val="00F2204E"/>
    <w:rsid w:val="00F23BDA"/>
    <w:rsid w:val="00F2476A"/>
    <w:rsid w:val="00F249C8"/>
    <w:rsid w:val="00F24C75"/>
    <w:rsid w:val="00F24FAB"/>
    <w:rsid w:val="00F25330"/>
    <w:rsid w:val="00F301F9"/>
    <w:rsid w:val="00F30EEE"/>
    <w:rsid w:val="00F32460"/>
    <w:rsid w:val="00F339E1"/>
    <w:rsid w:val="00F33C7C"/>
    <w:rsid w:val="00F33F2B"/>
    <w:rsid w:val="00F3676A"/>
    <w:rsid w:val="00F36CC1"/>
    <w:rsid w:val="00F411D5"/>
    <w:rsid w:val="00F435E5"/>
    <w:rsid w:val="00F52E9C"/>
    <w:rsid w:val="00F53342"/>
    <w:rsid w:val="00F535B6"/>
    <w:rsid w:val="00F543EE"/>
    <w:rsid w:val="00F54EDE"/>
    <w:rsid w:val="00F54F0F"/>
    <w:rsid w:val="00F5637E"/>
    <w:rsid w:val="00F60DCB"/>
    <w:rsid w:val="00F61735"/>
    <w:rsid w:val="00F71A85"/>
    <w:rsid w:val="00F7373F"/>
    <w:rsid w:val="00F73809"/>
    <w:rsid w:val="00F73F12"/>
    <w:rsid w:val="00F77C5D"/>
    <w:rsid w:val="00F77CC8"/>
    <w:rsid w:val="00F77E97"/>
    <w:rsid w:val="00F81DFF"/>
    <w:rsid w:val="00F81E71"/>
    <w:rsid w:val="00F866A3"/>
    <w:rsid w:val="00F873A4"/>
    <w:rsid w:val="00F91D13"/>
    <w:rsid w:val="00F95364"/>
    <w:rsid w:val="00F95BE5"/>
    <w:rsid w:val="00F97664"/>
    <w:rsid w:val="00F97AA3"/>
    <w:rsid w:val="00FA2A64"/>
    <w:rsid w:val="00FA55EE"/>
    <w:rsid w:val="00FB394B"/>
    <w:rsid w:val="00FB4FA9"/>
    <w:rsid w:val="00FB51E6"/>
    <w:rsid w:val="00FC28D6"/>
    <w:rsid w:val="00FC47C0"/>
    <w:rsid w:val="00FC5760"/>
    <w:rsid w:val="00FD1BE1"/>
    <w:rsid w:val="00FD2655"/>
    <w:rsid w:val="00FD5CCF"/>
    <w:rsid w:val="00FE3525"/>
    <w:rsid w:val="00FE5F2A"/>
    <w:rsid w:val="00FE64A6"/>
    <w:rsid w:val="00FE6B4A"/>
    <w:rsid w:val="00FE739B"/>
    <w:rsid w:val="00FF07B6"/>
    <w:rsid w:val="00FF163A"/>
    <w:rsid w:val="00FF269F"/>
    <w:rsid w:val="00FF4249"/>
    <w:rsid w:val="00FF45A7"/>
    <w:rsid w:val="00FF46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56B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E0"/>
    <w:rPr>
      <w:sz w:val="24"/>
      <w:szCs w:val="24"/>
    </w:rPr>
  </w:style>
  <w:style w:type="paragraph" w:styleId="Heading1">
    <w:name w:val="heading 1"/>
    <w:aliases w:val="JPW-num-section,level 1,level1,Nadpis 1,Heading 1 Char,Char Char,Char"/>
    <w:basedOn w:val="Normal"/>
    <w:next w:val="Normal"/>
    <w:link w:val="Heading1Char1"/>
    <w:uiPriority w:val="99"/>
    <w:qFormat/>
    <w:rsid w:val="00F24FAB"/>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uiPriority w:val="99"/>
    <w:qFormat/>
    <w:rsid w:val="00F24FAB"/>
    <w:pPr>
      <w:keepNext/>
      <w:numPr>
        <w:ilvl w:val="1"/>
        <w:numId w:val="1"/>
      </w:numPr>
      <w:spacing w:before="240" w:after="60"/>
      <w:outlineLvl w:val="1"/>
    </w:pPr>
    <w:rPr>
      <w:rFonts w:ascii="Verdana" w:hAnsi="Verdana" w:cs="Arial"/>
      <w:bCs/>
      <w:iCs/>
      <w:szCs w:val="28"/>
    </w:rPr>
  </w:style>
  <w:style w:type="paragraph" w:styleId="Heading3">
    <w:name w:val="heading 3"/>
    <w:basedOn w:val="Normal"/>
    <w:next w:val="Normal"/>
    <w:link w:val="Heading3Char"/>
    <w:uiPriority w:val="99"/>
    <w:qFormat/>
    <w:rsid w:val="003373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7C4767"/>
    <w:rPr>
      <w:rFonts w:ascii="Verdana" w:hAnsi="Verdana" w:cs="Arial"/>
      <w:bCs/>
      <w:kern w:val="32"/>
      <w:sz w:val="32"/>
      <w:szCs w:val="32"/>
    </w:rPr>
  </w:style>
  <w:style w:type="character" w:customStyle="1" w:styleId="Heading2Char">
    <w:name w:val="Heading 2 Char"/>
    <w:aliases w:val="level 2 Char,level2 Char"/>
    <w:basedOn w:val="DefaultParagraphFont"/>
    <w:link w:val="Heading2"/>
    <w:uiPriority w:val="99"/>
    <w:locked/>
    <w:rsid w:val="00B87FB0"/>
    <w:rPr>
      <w:rFonts w:ascii="Verdana" w:hAnsi="Verdana" w:cs="Arial"/>
      <w:bCs/>
      <w:iCs/>
      <w:sz w:val="28"/>
      <w:szCs w:val="28"/>
    </w:rPr>
  </w:style>
  <w:style w:type="character" w:customStyle="1" w:styleId="Heading3Char">
    <w:name w:val="Heading 3 Char"/>
    <w:basedOn w:val="DefaultParagraphFont"/>
    <w:link w:val="Heading3"/>
    <w:uiPriority w:val="99"/>
    <w:semiHidden/>
    <w:locked/>
    <w:rsid w:val="007C4767"/>
    <w:rPr>
      <w:rFonts w:ascii="Cambria" w:hAnsi="Cambria" w:cs="Times New Roman"/>
      <w:b/>
      <w:bCs/>
      <w:sz w:val="26"/>
      <w:szCs w:val="26"/>
    </w:rPr>
  </w:style>
  <w:style w:type="table" w:styleId="TableGrid">
    <w:name w:val="Table Grid"/>
    <w:basedOn w:val="TableNormal"/>
    <w:uiPriority w:val="99"/>
    <w:rsid w:val="00F24F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4FAB"/>
    <w:rPr>
      <w:rFonts w:cs="Times New Roman"/>
      <w:color w:val="0000FF"/>
      <w:u w:val="single"/>
    </w:rPr>
  </w:style>
  <w:style w:type="paragraph" w:styleId="Header">
    <w:name w:val="header"/>
    <w:basedOn w:val="Normal"/>
    <w:link w:val="HeaderChar"/>
    <w:uiPriority w:val="99"/>
    <w:rsid w:val="00F24FAB"/>
    <w:pPr>
      <w:tabs>
        <w:tab w:val="center" w:pos="4153"/>
        <w:tab w:val="right" w:pos="8306"/>
      </w:tabs>
    </w:pPr>
  </w:style>
  <w:style w:type="character" w:customStyle="1" w:styleId="HeaderChar">
    <w:name w:val="Header Char"/>
    <w:basedOn w:val="DefaultParagraphFont"/>
    <w:link w:val="Header"/>
    <w:uiPriority w:val="99"/>
    <w:semiHidden/>
    <w:locked/>
    <w:rsid w:val="007C4767"/>
    <w:rPr>
      <w:rFonts w:cs="Times New Roman"/>
      <w:sz w:val="24"/>
      <w:szCs w:val="24"/>
    </w:rPr>
  </w:style>
  <w:style w:type="paragraph" w:styleId="Footer">
    <w:name w:val="footer"/>
    <w:basedOn w:val="Normal"/>
    <w:link w:val="FooterChar"/>
    <w:uiPriority w:val="99"/>
    <w:rsid w:val="00F24FAB"/>
    <w:pPr>
      <w:tabs>
        <w:tab w:val="center" w:pos="4153"/>
        <w:tab w:val="right" w:pos="8306"/>
      </w:tabs>
    </w:pPr>
  </w:style>
  <w:style w:type="character" w:customStyle="1" w:styleId="FooterChar">
    <w:name w:val="Footer Char"/>
    <w:basedOn w:val="DefaultParagraphFont"/>
    <w:link w:val="Footer"/>
    <w:uiPriority w:val="99"/>
    <w:semiHidden/>
    <w:locked/>
    <w:rsid w:val="007C4767"/>
    <w:rPr>
      <w:rFonts w:cs="Times New Roman"/>
      <w:sz w:val="24"/>
      <w:szCs w:val="24"/>
    </w:rPr>
  </w:style>
  <w:style w:type="paragraph" w:styleId="BalloonText">
    <w:name w:val="Balloon Text"/>
    <w:basedOn w:val="Normal"/>
    <w:link w:val="BalloonTextChar"/>
    <w:uiPriority w:val="99"/>
    <w:semiHidden/>
    <w:rsid w:val="00E446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767"/>
    <w:rPr>
      <w:rFonts w:cs="Times New Roman"/>
      <w:sz w:val="2"/>
    </w:rPr>
  </w:style>
  <w:style w:type="paragraph" w:styleId="ListParagraph">
    <w:name w:val="List Paragraph"/>
    <w:basedOn w:val="Normal"/>
    <w:uiPriority w:val="99"/>
    <w:qFormat/>
    <w:rsid w:val="0049648C"/>
    <w:pPr>
      <w:ind w:left="720"/>
    </w:pPr>
  </w:style>
  <w:style w:type="paragraph" w:styleId="BodyText">
    <w:name w:val="Body Text"/>
    <w:basedOn w:val="Normal"/>
    <w:link w:val="BodyTextChar"/>
    <w:uiPriority w:val="99"/>
    <w:rsid w:val="003620F3"/>
    <w:pPr>
      <w:jc w:val="both"/>
    </w:pPr>
    <w:rPr>
      <w:rFonts w:ascii="Arial" w:hAnsi="Arial"/>
      <w:szCs w:val="20"/>
    </w:rPr>
  </w:style>
  <w:style w:type="character" w:customStyle="1" w:styleId="BodyTextChar">
    <w:name w:val="Body Text Char"/>
    <w:basedOn w:val="DefaultParagraphFont"/>
    <w:link w:val="BodyText"/>
    <w:uiPriority w:val="99"/>
    <w:locked/>
    <w:rsid w:val="003620F3"/>
    <w:rPr>
      <w:rFonts w:ascii="Arial" w:hAnsi="Arial"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4E0"/>
    <w:rPr>
      <w:sz w:val="24"/>
      <w:szCs w:val="24"/>
    </w:rPr>
  </w:style>
  <w:style w:type="paragraph" w:styleId="Heading1">
    <w:name w:val="heading 1"/>
    <w:aliases w:val="JPW-num-section,level 1,level1,Nadpis 1,Heading 1 Char,Char Char,Char"/>
    <w:basedOn w:val="Normal"/>
    <w:next w:val="Normal"/>
    <w:link w:val="Heading1Char1"/>
    <w:uiPriority w:val="99"/>
    <w:qFormat/>
    <w:rsid w:val="00F24FAB"/>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uiPriority w:val="99"/>
    <w:qFormat/>
    <w:rsid w:val="00F24FAB"/>
    <w:pPr>
      <w:keepNext/>
      <w:numPr>
        <w:ilvl w:val="1"/>
        <w:numId w:val="1"/>
      </w:numPr>
      <w:spacing w:before="240" w:after="60"/>
      <w:outlineLvl w:val="1"/>
    </w:pPr>
    <w:rPr>
      <w:rFonts w:ascii="Verdana" w:hAnsi="Verdana" w:cs="Arial"/>
      <w:bCs/>
      <w:iCs/>
      <w:szCs w:val="28"/>
    </w:rPr>
  </w:style>
  <w:style w:type="paragraph" w:styleId="Heading3">
    <w:name w:val="heading 3"/>
    <w:basedOn w:val="Normal"/>
    <w:next w:val="Normal"/>
    <w:link w:val="Heading3Char"/>
    <w:uiPriority w:val="99"/>
    <w:qFormat/>
    <w:rsid w:val="003373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7C4767"/>
    <w:rPr>
      <w:rFonts w:ascii="Verdana" w:hAnsi="Verdana" w:cs="Arial"/>
      <w:bCs/>
      <w:kern w:val="32"/>
      <w:sz w:val="32"/>
      <w:szCs w:val="32"/>
    </w:rPr>
  </w:style>
  <w:style w:type="character" w:customStyle="1" w:styleId="Heading2Char">
    <w:name w:val="Heading 2 Char"/>
    <w:aliases w:val="level 2 Char,level2 Char"/>
    <w:basedOn w:val="DefaultParagraphFont"/>
    <w:link w:val="Heading2"/>
    <w:uiPriority w:val="99"/>
    <w:locked/>
    <w:rsid w:val="00B87FB0"/>
    <w:rPr>
      <w:rFonts w:ascii="Verdana" w:hAnsi="Verdana" w:cs="Arial"/>
      <w:bCs/>
      <w:iCs/>
      <w:sz w:val="28"/>
      <w:szCs w:val="28"/>
    </w:rPr>
  </w:style>
  <w:style w:type="character" w:customStyle="1" w:styleId="Heading3Char">
    <w:name w:val="Heading 3 Char"/>
    <w:basedOn w:val="DefaultParagraphFont"/>
    <w:link w:val="Heading3"/>
    <w:uiPriority w:val="99"/>
    <w:semiHidden/>
    <w:locked/>
    <w:rsid w:val="007C4767"/>
    <w:rPr>
      <w:rFonts w:ascii="Cambria" w:hAnsi="Cambria" w:cs="Times New Roman"/>
      <w:b/>
      <w:bCs/>
      <w:sz w:val="26"/>
      <w:szCs w:val="26"/>
    </w:rPr>
  </w:style>
  <w:style w:type="table" w:styleId="TableGrid">
    <w:name w:val="Table Grid"/>
    <w:basedOn w:val="TableNormal"/>
    <w:uiPriority w:val="99"/>
    <w:rsid w:val="00F24F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4FAB"/>
    <w:rPr>
      <w:rFonts w:cs="Times New Roman"/>
      <w:color w:val="0000FF"/>
      <w:u w:val="single"/>
    </w:rPr>
  </w:style>
  <w:style w:type="paragraph" w:styleId="Header">
    <w:name w:val="header"/>
    <w:basedOn w:val="Normal"/>
    <w:link w:val="HeaderChar"/>
    <w:uiPriority w:val="99"/>
    <w:rsid w:val="00F24FAB"/>
    <w:pPr>
      <w:tabs>
        <w:tab w:val="center" w:pos="4153"/>
        <w:tab w:val="right" w:pos="8306"/>
      </w:tabs>
    </w:pPr>
  </w:style>
  <w:style w:type="character" w:customStyle="1" w:styleId="HeaderChar">
    <w:name w:val="Header Char"/>
    <w:basedOn w:val="DefaultParagraphFont"/>
    <w:link w:val="Header"/>
    <w:uiPriority w:val="99"/>
    <w:semiHidden/>
    <w:locked/>
    <w:rsid w:val="007C4767"/>
    <w:rPr>
      <w:rFonts w:cs="Times New Roman"/>
      <w:sz w:val="24"/>
      <w:szCs w:val="24"/>
    </w:rPr>
  </w:style>
  <w:style w:type="paragraph" w:styleId="Footer">
    <w:name w:val="footer"/>
    <w:basedOn w:val="Normal"/>
    <w:link w:val="FooterChar"/>
    <w:uiPriority w:val="99"/>
    <w:rsid w:val="00F24FAB"/>
    <w:pPr>
      <w:tabs>
        <w:tab w:val="center" w:pos="4153"/>
        <w:tab w:val="right" w:pos="8306"/>
      </w:tabs>
    </w:pPr>
  </w:style>
  <w:style w:type="character" w:customStyle="1" w:styleId="FooterChar">
    <w:name w:val="Footer Char"/>
    <w:basedOn w:val="DefaultParagraphFont"/>
    <w:link w:val="Footer"/>
    <w:uiPriority w:val="99"/>
    <w:semiHidden/>
    <w:locked/>
    <w:rsid w:val="007C4767"/>
    <w:rPr>
      <w:rFonts w:cs="Times New Roman"/>
      <w:sz w:val="24"/>
      <w:szCs w:val="24"/>
    </w:rPr>
  </w:style>
  <w:style w:type="paragraph" w:styleId="BalloonText">
    <w:name w:val="Balloon Text"/>
    <w:basedOn w:val="Normal"/>
    <w:link w:val="BalloonTextChar"/>
    <w:uiPriority w:val="99"/>
    <w:semiHidden/>
    <w:rsid w:val="00E446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767"/>
    <w:rPr>
      <w:rFonts w:cs="Times New Roman"/>
      <w:sz w:val="2"/>
    </w:rPr>
  </w:style>
  <w:style w:type="paragraph" w:styleId="ListParagraph">
    <w:name w:val="List Paragraph"/>
    <w:basedOn w:val="Normal"/>
    <w:uiPriority w:val="99"/>
    <w:qFormat/>
    <w:rsid w:val="0049648C"/>
    <w:pPr>
      <w:ind w:left="720"/>
    </w:pPr>
  </w:style>
  <w:style w:type="paragraph" w:styleId="BodyText">
    <w:name w:val="Body Text"/>
    <w:basedOn w:val="Normal"/>
    <w:link w:val="BodyTextChar"/>
    <w:uiPriority w:val="99"/>
    <w:rsid w:val="003620F3"/>
    <w:pPr>
      <w:jc w:val="both"/>
    </w:pPr>
    <w:rPr>
      <w:rFonts w:ascii="Arial" w:hAnsi="Arial"/>
      <w:szCs w:val="20"/>
    </w:rPr>
  </w:style>
  <w:style w:type="character" w:customStyle="1" w:styleId="BodyTextChar">
    <w:name w:val="Body Text Char"/>
    <w:basedOn w:val="DefaultParagraphFont"/>
    <w:link w:val="BodyText"/>
    <w:uiPriority w:val="99"/>
    <w:locked/>
    <w:rsid w:val="003620F3"/>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6797">
      <w:marLeft w:val="0"/>
      <w:marRight w:val="0"/>
      <w:marTop w:val="0"/>
      <w:marBottom w:val="0"/>
      <w:divBdr>
        <w:top w:val="none" w:sz="0" w:space="0" w:color="auto"/>
        <w:left w:val="none" w:sz="0" w:space="0" w:color="auto"/>
        <w:bottom w:val="none" w:sz="0" w:space="0" w:color="auto"/>
        <w:right w:val="none" w:sz="0" w:space="0" w:color="auto"/>
      </w:divBdr>
    </w:div>
    <w:div w:id="100690679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cusa@electralink.co.uk"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1191</Words>
  <Characters>6793</Characters>
  <Application>Microsoft Macintosh Word</Application>
  <DocSecurity>0</DocSecurity>
  <Lines>56</Lines>
  <Paragraphs>15</Paragraphs>
  <ScaleCrop>false</ScaleCrop>
  <Company>ElectraLink</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RESPONSE FORM</dc:title>
  <dc:subject/>
  <dc:creator>Elizabeth Lawlor</dc:creator>
  <cp:keywords/>
  <dc:description/>
  <cp:lastModifiedBy>Franck Latrémolière (Reckon)</cp:lastModifiedBy>
  <cp:revision>7</cp:revision>
  <cp:lastPrinted>2011-09-01T16:02:00Z</cp:lastPrinted>
  <dcterms:created xsi:type="dcterms:W3CDTF">2013-05-20T05:44:00Z</dcterms:created>
  <dcterms:modified xsi:type="dcterms:W3CDTF">2013-05-20T05:59:00Z</dcterms:modified>
</cp:coreProperties>
</file>