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B8AD9" w14:textId="77777777" w:rsidR="00F85A5C" w:rsidRPr="00847DD2" w:rsidRDefault="000B2EB7" w:rsidP="00F85A5C">
      <w:pPr>
        <w:pStyle w:val="Heading1"/>
        <w:numPr>
          <w:ilvl w:val="0"/>
          <w:numId w:val="3"/>
        </w:numPr>
      </w:pPr>
      <w:r>
        <w:t>Comments on DCP 214 “Voting”</w:t>
      </w:r>
    </w:p>
    <w:p w14:paraId="4ACA6F5D" w14:textId="44EFA459" w:rsidR="00A2421F" w:rsidRDefault="00A2421F" w:rsidP="00A2421F">
      <w:pPr>
        <w:pStyle w:val="Byline"/>
        <w:numPr>
          <w:ilvl w:val="0"/>
          <w:numId w:val="3"/>
        </w:numPr>
      </w:pPr>
      <w:r w:rsidRPr="00AB6F30">
        <w:rPr>
          <w:color w:val="808080"/>
        </w:rPr>
        <w:t>by</w:t>
      </w:r>
      <w:r w:rsidRPr="00AB6F30">
        <w:t xml:space="preserve"> </w:t>
      </w:r>
      <w:r w:rsidR="00F33181">
        <w:t>Franck L</w:t>
      </w:r>
      <w:r w:rsidR="00F33181" w:rsidRPr="00F85A5C">
        <w:t>atrémolière</w:t>
      </w:r>
      <w:r w:rsidRPr="00AB6F30">
        <w:t xml:space="preserve"> </w:t>
      </w:r>
      <w:r w:rsidRPr="00AB6F30">
        <w:rPr>
          <w:color w:val="808080"/>
        </w:rPr>
        <w:t>on</w:t>
      </w:r>
      <w:r w:rsidRPr="00AB6F30">
        <w:t xml:space="preserve"> </w:t>
      </w:r>
      <w:r w:rsidR="00EC2B72">
        <w:rPr>
          <w:noProof/>
        </w:rPr>
        <w:t>Tuesday 5 August 2014</w:t>
      </w:r>
    </w:p>
    <w:p w14:paraId="3BBF0957" w14:textId="77777777" w:rsidR="002F3B80" w:rsidRDefault="000B2EB7" w:rsidP="00F85A5C">
      <w:pPr>
        <w:pStyle w:val="Text"/>
        <w:numPr>
          <w:ilvl w:val="1"/>
          <w:numId w:val="3"/>
        </w:numPr>
      </w:pPr>
      <w:bookmarkStart w:id="0" w:name="_Toc262902365"/>
      <w:r>
        <w:t>This submission is about DCP 214 “Voting”</w:t>
      </w:r>
      <w:r w:rsidR="002F3B80">
        <w:t>.</w:t>
      </w:r>
    </w:p>
    <w:p w14:paraId="531F2D08" w14:textId="4A76338B" w:rsidR="00F85A5C" w:rsidRDefault="001450FA" w:rsidP="002F3B80">
      <w:pPr>
        <w:pStyle w:val="Heading2"/>
      </w:pPr>
      <w:r>
        <w:t>T</w:t>
      </w:r>
      <w:r w:rsidR="002F3B80">
        <w:t>he initial assessment process</w:t>
      </w:r>
      <w:r>
        <w:t xml:space="preserve"> was too restricted</w:t>
      </w:r>
    </w:p>
    <w:bookmarkEnd w:id="0"/>
    <w:p w14:paraId="0C9F365B" w14:textId="5627B3DC" w:rsidR="002F3B80" w:rsidRDefault="00034AF9" w:rsidP="00034AF9">
      <w:pPr>
        <w:pStyle w:val="Text"/>
      </w:pPr>
      <w:r>
        <w:t xml:space="preserve">The </w:t>
      </w:r>
      <w:r w:rsidR="002F3B80">
        <w:t>following parties are affected by DCUSA (this list might not be exhaustive):</w:t>
      </w:r>
    </w:p>
    <w:p w14:paraId="2E4E6722" w14:textId="14799592" w:rsidR="00034AF9" w:rsidRDefault="00034AF9" w:rsidP="00034AF9">
      <w:pPr>
        <w:pStyle w:val="Text"/>
        <w:numPr>
          <w:ilvl w:val="2"/>
          <w:numId w:val="10"/>
        </w:numPr>
      </w:pPr>
      <w:r>
        <w:t>DCUSA Parties</w:t>
      </w:r>
      <w:r w:rsidR="002F3B80">
        <w:t>.</w:t>
      </w:r>
    </w:p>
    <w:p w14:paraId="4AE7C8AE" w14:textId="4EBE3D4F" w:rsidR="002F3B80" w:rsidRDefault="002F3B80" w:rsidP="002F3B80">
      <w:pPr>
        <w:pStyle w:val="Text"/>
        <w:numPr>
          <w:ilvl w:val="2"/>
          <w:numId w:val="10"/>
        </w:numPr>
      </w:pPr>
      <w:r>
        <w:t>Potential new entrants into the electricity sector who might wish, or be required to, become DCUSA Parties.</w:t>
      </w:r>
    </w:p>
    <w:p w14:paraId="0E7535D9" w14:textId="77777777" w:rsidR="002F3B80" w:rsidRDefault="002F3B80" w:rsidP="002F3B80">
      <w:pPr>
        <w:pStyle w:val="Text"/>
        <w:numPr>
          <w:ilvl w:val="2"/>
          <w:numId w:val="10"/>
        </w:numPr>
      </w:pPr>
      <w:r>
        <w:t>Electricity customers and generators who are subject to the National Terms of Connection.</w:t>
      </w:r>
    </w:p>
    <w:p w14:paraId="6733BAD0" w14:textId="77777777" w:rsidR="002F3B80" w:rsidRDefault="002F3B80" w:rsidP="002F3B80">
      <w:pPr>
        <w:pStyle w:val="Text"/>
        <w:numPr>
          <w:ilvl w:val="2"/>
          <w:numId w:val="10"/>
        </w:numPr>
      </w:pPr>
      <w:r>
        <w:t>Current and potential electricity customers and generators who might wish to arrange for new or modified connections.</w:t>
      </w:r>
    </w:p>
    <w:p w14:paraId="13B45314" w14:textId="153126B6" w:rsidR="002F3B80" w:rsidRDefault="002F3B80" w:rsidP="002F3B80">
      <w:pPr>
        <w:pStyle w:val="Text"/>
        <w:numPr>
          <w:ilvl w:val="2"/>
          <w:numId w:val="10"/>
        </w:numPr>
      </w:pPr>
      <w:r>
        <w:t>Electricity customers and generators who bear the economic consequences of the use of system charging methodologies (through competition between suppliers).</w:t>
      </w:r>
    </w:p>
    <w:p w14:paraId="1E3DA20C" w14:textId="20987F5F" w:rsidR="002F3B80" w:rsidRDefault="002F3B80" w:rsidP="00034AF9">
      <w:pPr>
        <w:pStyle w:val="Text"/>
        <w:numPr>
          <w:ilvl w:val="2"/>
          <w:numId w:val="10"/>
        </w:numPr>
      </w:pPr>
      <w:r>
        <w:t>Potential new electricity customers and generators who might become subject to the National Terms of Connection, or who might be exposed to the effect of use of system charging methodologies.</w:t>
      </w:r>
    </w:p>
    <w:p w14:paraId="6B7F9CA9" w14:textId="77777777" w:rsidR="002F3B80" w:rsidRDefault="002F3B80" w:rsidP="002F3B80">
      <w:pPr>
        <w:pStyle w:val="Text"/>
      </w:pPr>
      <w:r>
        <w:t>DCUSA governance is an essential part of DCUSA, and one of the main determinants of risks borne by any party who is affected by DCUSA.  All the categories of parties listed above are affected by changes to DCUSA governance.</w:t>
      </w:r>
    </w:p>
    <w:p w14:paraId="2D16DA2A" w14:textId="1681EA78" w:rsidR="001450FA" w:rsidRDefault="001450FA" w:rsidP="002F3B80">
      <w:pPr>
        <w:pStyle w:val="Text"/>
      </w:pPr>
      <w:r>
        <w:t>The DCP 214 form explains that voting results are an important aspect of DCUSA Governance, even for Part 1 changes, because the voting result determines which forms of legal recourse are open to those dissatisfied with Ofgem’s decision.  I agree.</w:t>
      </w:r>
    </w:p>
    <w:p w14:paraId="176BB957" w14:textId="639DA4FB" w:rsidR="002F3B80" w:rsidRPr="00034AF9" w:rsidRDefault="002F3B80" w:rsidP="002F3B80">
      <w:pPr>
        <w:pStyle w:val="Text"/>
      </w:pPr>
      <w:r>
        <w:t xml:space="preserve">I think that it was a mistake to advertise DCP 214, a proposal to make a material change to </w:t>
      </w:r>
      <w:r w:rsidR="001450FA">
        <w:t xml:space="preserve">an important part of the </w:t>
      </w:r>
      <w:r>
        <w:t xml:space="preserve">DCUSA governance processes, only to the first category </w:t>
      </w:r>
      <w:r w:rsidR="00FC4C9D">
        <w:t xml:space="preserve">(i.e. a tiny minority) </w:t>
      </w:r>
      <w:r>
        <w:t>of affected parties in the list</w:t>
      </w:r>
      <w:r w:rsidR="001450FA" w:rsidRPr="001450FA">
        <w:t xml:space="preserve"> </w:t>
      </w:r>
      <w:r w:rsidR="001450FA">
        <w:t>above</w:t>
      </w:r>
      <w:r w:rsidR="00FC4C9D">
        <w:t>.</w:t>
      </w:r>
    </w:p>
    <w:p w14:paraId="5B5F78B7" w14:textId="2F82F4A8" w:rsidR="002F3B80" w:rsidRDefault="001450FA" w:rsidP="00F85A5C">
      <w:pPr>
        <w:pStyle w:val="Heading2"/>
      </w:pPr>
      <w:r>
        <w:t>T</w:t>
      </w:r>
      <w:r w:rsidR="002F3B80">
        <w:t>he proposed solution</w:t>
      </w:r>
      <w:r>
        <w:t xml:space="preserve"> does not meet its intent</w:t>
      </w:r>
    </w:p>
    <w:p w14:paraId="3C46939C" w14:textId="30EBA3AD" w:rsidR="002F3B80" w:rsidRPr="001450FA" w:rsidRDefault="002F3B80" w:rsidP="001450FA">
      <w:pPr>
        <w:pStyle w:val="Text"/>
        <w:rPr>
          <w:lang w:val="en-US" w:bidi="ar-SA"/>
        </w:rPr>
      </w:pPr>
      <w:r>
        <w:t>The proposed solution for DCP 214 does not appear to meet its intent.</w:t>
      </w:r>
      <w:r w:rsidR="001450FA">
        <w:t xml:space="preserve">  The intent is “</w:t>
      </w:r>
      <w:r w:rsidR="001450FA" w:rsidRPr="001450FA">
        <w:rPr>
          <w:lang w:val="en-US" w:bidi="ar-SA"/>
        </w:rPr>
        <w:t>To ensure that the recommendation made to Ofgem of a Part 1 change or the outcome of a Part 2 change truly reflects the interests (voting or otherwise) of the parties”.</w:t>
      </w:r>
    </w:p>
    <w:p w14:paraId="1987E69C" w14:textId="692BC3AF" w:rsidR="001450FA" w:rsidRDefault="001450FA" w:rsidP="001450FA">
      <w:pPr>
        <w:pStyle w:val="Text"/>
      </w:pPr>
      <w:r>
        <w:t xml:space="preserve">The solution set out in the proposal form would make various improvements (I think) to the way in which the interests of DCUSA Parties are reflecting in voting results.  But it would not ensure that the outcome truly reflects the interests (voting or otherwise) of all the parties affected by a proposed </w:t>
      </w:r>
      <w:r w:rsidR="00EC2B72">
        <w:t xml:space="preserve">DCUSA </w:t>
      </w:r>
      <w:r>
        <w:t>change.</w:t>
      </w:r>
    </w:p>
    <w:p w14:paraId="4DF0A074" w14:textId="7105FE68" w:rsidR="001450FA" w:rsidRDefault="00EC2B72" w:rsidP="001450FA">
      <w:pPr>
        <w:pStyle w:val="Heading2"/>
      </w:pPr>
      <w:r>
        <w:lastRenderedPageBreak/>
        <w:t xml:space="preserve">It </w:t>
      </w:r>
      <w:r w:rsidR="00FC4C9D">
        <w:t>might</w:t>
      </w:r>
      <w:r>
        <w:t xml:space="preserve"> not be difficult to improve the solution to meet the intent</w:t>
      </w:r>
    </w:p>
    <w:p w14:paraId="3ACF4885" w14:textId="2F909CA6" w:rsidR="001450FA" w:rsidRDefault="001450FA" w:rsidP="001450FA">
      <w:pPr>
        <w:pStyle w:val="Text"/>
      </w:pPr>
      <w:r>
        <w:t xml:space="preserve">Because the list of parties affected by DCUSA changes is potentially very wide and difficult to delineate, a straightforward extension of the current voting </w:t>
      </w:r>
      <w:r w:rsidR="00A664DB">
        <w:t>rules</w:t>
      </w:r>
      <w:r>
        <w:t xml:space="preserve"> is probably not a suitable way of ascertaining the interests of affected parties who are not DCUSA Parties.</w:t>
      </w:r>
    </w:p>
    <w:p w14:paraId="5702BD9D" w14:textId="78ADBD15" w:rsidR="00A664DB" w:rsidRDefault="0010607E" w:rsidP="00A664DB">
      <w:pPr>
        <w:pStyle w:val="Text"/>
      </w:pPr>
      <w:r>
        <w:t>T</w:t>
      </w:r>
      <w:r w:rsidR="00A664DB">
        <w:t xml:space="preserve">he </w:t>
      </w:r>
      <w:r>
        <w:t xml:space="preserve">DCP 214 </w:t>
      </w:r>
      <w:r w:rsidR="00A664DB">
        <w:t xml:space="preserve">working group </w:t>
      </w:r>
      <w:r>
        <w:t xml:space="preserve">should </w:t>
      </w:r>
      <w:r w:rsidR="00A664DB">
        <w:t xml:space="preserve">explore whether there are </w:t>
      </w:r>
      <w:r w:rsidR="00EC2B72">
        <w:t xml:space="preserve">workable solutions </w:t>
      </w:r>
      <w:r w:rsidR="00A664DB">
        <w:t xml:space="preserve">that could help </w:t>
      </w:r>
      <w:r w:rsidR="00EC2B72">
        <w:t>remedy the existing defect in DCUSA voting arrangements</w:t>
      </w:r>
      <w:r w:rsidR="00A664DB">
        <w:t xml:space="preserve"> with regards to affected parties who are not DCUSA Parties</w:t>
      </w:r>
      <w:r w:rsidR="00EC2B72">
        <w:t>.</w:t>
      </w:r>
    </w:p>
    <w:p w14:paraId="607120C7" w14:textId="17BC8160" w:rsidR="001450FA" w:rsidRDefault="00A664DB" w:rsidP="00A664DB">
      <w:pPr>
        <w:pStyle w:val="Text"/>
      </w:pPr>
      <w:r>
        <w:t xml:space="preserve">I think that the key </w:t>
      </w:r>
      <w:r w:rsidR="00CC31F4">
        <w:t>to designing these arrangements is the observation that non-party interest in DCUSA governance is currently very limited.  In part, this is due to the opacity of current DCUSA processes; things might eventually improve in this area.  However, the experience suggests that, even with an open and transparent process it is unlikely that additional barriers to participation need to be erected.</w:t>
      </w:r>
    </w:p>
    <w:p w14:paraId="35BC0436" w14:textId="6985F890" w:rsidR="00CC31F4" w:rsidRPr="00CC31F4" w:rsidRDefault="00CC31F4" w:rsidP="00A664DB">
      <w:pPr>
        <w:pStyle w:val="Text"/>
      </w:pPr>
      <w:r>
        <w:t xml:space="preserve">I submit that the following process would be workable and would help ensure </w:t>
      </w:r>
      <w:r w:rsidRPr="001450FA">
        <w:rPr>
          <w:lang w:val="en-US" w:bidi="ar-SA"/>
        </w:rPr>
        <w:t>that the recommendation made to Ofgem of a Part 1 change or the outcome of a Part 2 change truly reflects the interests (voting or otherwise) of the parties</w:t>
      </w:r>
      <w:r>
        <w:rPr>
          <w:lang w:val="en-US" w:bidi="ar-SA"/>
        </w:rPr>
        <w:t>:</w:t>
      </w:r>
    </w:p>
    <w:p w14:paraId="6CA0A279" w14:textId="5D1E5930" w:rsidR="00CC31F4" w:rsidRPr="00CC31F4" w:rsidRDefault="00CC31F4" w:rsidP="00CC31F4">
      <w:pPr>
        <w:pStyle w:val="Text"/>
        <w:numPr>
          <w:ilvl w:val="2"/>
          <w:numId w:val="10"/>
        </w:numPr>
      </w:pPr>
      <w:r>
        <w:rPr>
          <w:lang w:val="en-US" w:bidi="ar-SA"/>
        </w:rPr>
        <w:t xml:space="preserve">All steps of the assessment process of all DCUSA change proposals should be advertised on an unrestricted public website (configured with no restrictions on indexing by Internet search engines).  </w:t>
      </w:r>
      <w:r w:rsidR="00FC4C9D">
        <w:rPr>
          <w:lang w:val="en-US" w:bidi="ar-SA"/>
        </w:rPr>
        <w:t>(</w:t>
      </w:r>
      <w:r>
        <w:rPr>
          <w:lang w:val="en-US" w:bidi="ar-SA"/>
        </w:rPr>
        <w:t>DCP 211 could help deliver this.</w:t>
      </w:r>
      <w:r w:rsidR="00FC4C9D">
        <w:rPr>
          <w:lang w:val="en-US" w:bidi="ar-SA"/>
        </w:rPr>
        <w:t>)</w:t>
      </w:r>
    </w:p>
    <w:p w14:paraId="5DD5EA6B" w14:textId="353E69D3" w:rsidR="00CC31F4" w:rsidRDefault="00CC31F4" w:rsidP="00CC31F4">
      <w:pPr>
        <w:pStyle w:val="Text"/>
        <w:numPr>
          <w:ilvl w:val="2"/>
          <w:numId w:val="10"/>
        </w:numPr>
      </w:pPr>
      <w:r>
        <w:t xml:space="preserve">A postal address, email address and a web form should be established to receive votes from interested parties at the same time as the DCUSA Party voting process.  It should be clearly stated that DCUSA Parties are </w:t>
      </w:r>
      <w:r w:rsidR="00564D97">
        <w:t xml:space="preserve">not entitled to use that system, and that accurate identification and contact details </w:t>
      </w:r>
      <w:r w:rsidR="00FC4C9D">
        <w:t>must be included with every vote</w:t>
      </w:r>
      <w:r w:rsidR="00564D97">
        <w:t>.</w:t>
      </w:r>
    </w:p>
    <w:p w14:paraId="5E42C1E8" w14:textId="49273A97" w:rsidR="00564D97" w:rsidRDefault="00CC31F4" w:rsidP="00CC31F4">
      <w:pPr>
        <w:pStyle w:val="Text"/>
        <w:numPr>
          <w:ilvl w:val="2"/>
          <w:numId w:val="10"/>
        </w:numPr>
      </w:pPr>
      <w:r>
        <w:t>The Secretariat should compile any votes received through this new system alongside the voting results</w:t>
      </w:r>
      <w:r w:rsidR="00564D97">
        <w:t>, as a separate party category</w:t>
      </w:r>
      <w:r>
        <w:t>.</w:t>
      </w:r>
      <w:r w:rsidR="00564D97">
        <w:t xml:space="preserve">  </w:t>
      </w:r>
      <w:r w:rsidR="00FC4C9D">
        <w:t>All v</w:t>
      </w:r>
      <w:r w:rsidR="00564D97">
        <w:t>otes received through the new system should be assigned the same weight</w:t>
      </w:r>
      <w:r>
        <w:t xml:space="preserve"> (same as for Gas Supplier</w:t>
      </w:r>
      <w:r w:rsidR="007E243B">
        <w:t xml:space="preserve"> Parties), which should be the lower of 20 per cent and one over the number of votes received though the new system.</w:t>
      </w:r>
    </w:p>
    <w:p w14:paraId="4F0CFB1A" w14:textId="118B5110" w:rsidR="00CC31F4" w:rsidRDefault="00564D97" w:rsidP="00CC31F4">
      <w:pPr>
        <w:pStyle w:val="Text"/>
        <w:numPr>
          <w:ilvl w:val="2"/>
          <w:numId w:val="10"/>
        </w:numPr>
      </w:pPr>
      <w:r>
        <w:t>Only in cases where the unweighted results for the new party category would be determinant of the overall result, the Secretariat should contact each of those who responded through the new system and make a basic check of their identity and authority (this could be simply sending an email to a corporate email address asking for confirmation of the vote).  Any unconfirmed</w:t>
      </w:r>
      <w:r w:rsidR="007E243B">
        <w:t xml:space="preserve"> or duplicated</w:t>
      </w:r>
      <w:r>
        <w:t xml:space="preserve"> vote would be excluded at this stage.</w:t>
      </w:r>
    </w:p>
    <w:p w14:paraId="481E2A6D" w14:textId="11AD8BE9" w:rsidR="00CC31F4" w:rsidRDefault="00564D97" w:rsidP="00CC31F4">
      <w:pPr>
        <w:pStyle w:val="Text"/>
        <w:numPr>
          <w:ilvl w:val="2"/>
          <w:numId w:val="10"/>
        </w:numPr>
      </w:pPr>
      <w:r>
        <w:t xml:space="preserve">The Part 1 recommendation to Ofgem or the Part 2 outcome would be calculated on the same basis </w:t>
      </w:r>
      <w:r w:rsidR="00FC4C9D">
        <w:t>in the solution in the DCP 214 form</w:t>
      </w:r>
      <w:r>
        <w:t xml:space="preserve">, with the new party category on the same footing as </w:t>
      </w:r>
      <w:r w:rsidR="0010607E">
        <w:t>any other party category</w:t>
      </w:r>
      <w:bookmarkStart w:id="1" w:name="_GoBack"/>
      <w:bookmarkEnd w:id="1"/>
      <w:r>
        <w:t>.</w:t>
      </w:r>
    </w:p>
    <w:p w14:paraId="3879A97B" w14:textId="181214EE" w:rsidR="007E243B" w:rsidRPr="00034AF9" w:rsidRDefault="007E243B" w:rsidP="007E243B">
      <w:pPr>
        <w:pStyle w:val="Text"/>
      </w:pPr>
      <w:r>
        <w:t>The effect of the</w:t>
      </w:r>
      <w:r w:rsidR="0010607E">
        <w:t>se</w:t>
      </w:r>
      <w:r>
        <w:t xml:space="preserve"> rules for a Part 1 change</w:t>
      </w:r>
      <w:r w:rsidR="0010607E">
        <w:t xml:space="preserve"> is that at least </w:t>
      </w:r>
      <w:r>
        <w:t xml:space="preserve">three objections from affected parties </w:t>
      </w:r>
      <w:r w:rsidR="0010607E">
        <w:t xml:space="preserve">who are not DCUSA Parties </w:t>
      </w:r>
      <w:r>
        <w:t>would be needed to have any effect.</w:t>
      </w:r>
    </w:p>
    <w:sectPr w:rsidR="007E243B" w:rsidRPr="00034AF9" w:rsidSect="00034AF9">
      <w:footerReference w:type="default" r:id="rId8"/>
      <w:pgSz w:w="11900" w:h="16840"/>
      <w:pgMar w:top="1800" w:right="1440" w:bottom="1440" w:left="1440" w:header="1080" w:footer="835"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89147" w14:textId="77777777" w:rsidR="00FC4C9D" w:rsidRDefault="00FC4C9D" w:rsidP="00034AF9">
      <w:pPr>
        <w:spacing w:after="0"/>
      </w:pPr>
      <w:r>
        <w:separator/>
      </w:r>
    </w:p>
  </w:endnote>
  <w:endnote w:type="continuationSeparator" w:id="0">
    <w:p w14:paraId="1AA68E6D" w14:textId="77777777" w:rsidR="00FC4C9D" w:rsidRDefault="00FC4C9D" w:rsidP="00034A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E55C8" w14:textId="77777777" w:rsidR="00FC4C9D" w:rsidRDefault="00FC4C9D">
    <w:pPr>
      <w:pStyle w:val="Footer"/>
    </w:pPr>
    <w:r w:rsidRPr="008021FC">
      <w:tab/>
    </w:r>
    <w:r>
      <w:fldChar w:fldCharType="begin"/>
    </w:r>
    <w:r>
      <w:instrText xml:space="preserve"> PAGE  \* MERGEFORMAT </w:instrText>
    </w:r>
    <w:r>
      <w:fldChar w:fldCharType="separate"/>
    </w:r>
    <w:r w:rsidR="0010607E">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7FABD" w14:textId="77777777" w:rsidR="00FC4C9D" w:rsidRDefault="00FC4C9D" w:rsidP="00034AF9">
      <w:pPr>
        <w:spacing w:after="0"/>
      </w:pPr>
      <w:r>
        <w:separator/>
      </w:r>
    </w:p>
  </w:footnote>
  <w:footnote w:type="continuationSeparator" w:id="0">
    <w:p w14:paraId="60CD1DC4" w14:textId="77777777" w:rsidR="00FC4C9D" w:rsidRDefault="00FC4C9D" w:rsidP="00034AF9">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3BE4C6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B21A3854"/>
    <w:lvl w:ilvl="0">
      <w:start w:val="1"/>
      <w:numFmt w:val="bullet"/>
      <w:lvlText w:val=""/>
      <w:lvlJc w:val="left"/>
      <w:pPr>
        <w:tabs>
          <w:tab w:val="num" w:pos="360"/>
        </w:tabs>
        <w:ind w:left="360" w:hanging="360"/>
      </w:pPr>
      <w:rPr>
        <w:rFonts w:ascii="Symbol" w:hAnsi="Symbol" w:hint="default"/>
      </w:rPr>
    </w:lvl>
  </w:abstractNum>
  <w:abstractNum w:abstractNumId="2">
    <w:nsid w:val="1FB87DBC"/>
    <w:multiLevelType w:val="multilevel"/>
    <w:tmpl w:val="3C283E6E"/>
    <w:lvl w:ilvl="0">
      <w:start w:val="1"/>
      <w:numFmt w:val="none"/>
      <w:suff w:val="nothing"/>
      <w:lvlText w:val=""/>
      <w:lvlJc w:val="left"/>
      <w:rPr>
        <w:rFonts w:hint="default"/>
      </w:rPr>
    </w:lvl>
    <w:lvl w:ilvl="1">
      <w:start w:val="1"/>
      <w:numFmt w:val="decimal"/>
      <w:lvlRestart w:val="0"/>
      <w:lvlText w:val="%2."/>
      <w:lvlJc w:val="left"/>
      <w:pPr>
        <w:tabs>
          <w:tab w:val="num" w:pos="720"/>
        </w:tabs>
        <w:ind w:left="720" w:hanging="720"/>
      </w:pPr>
      <w:rPr>
        <w:rFonts w:hint="default"/>
      </w:rPr>
    </w:lvl>
    <w:lvl w:ilvl="2">
      <w:start w:val="1"/>
      <w:numFmt w:val="lowerLetter"/>
      <w:lvlText w:val="(%3)"/>
      <w:lvlJc w:val="left"/>
      <w:pPr>
        <w:tabs>
          <w:tab w:val="num" w:pos="1195"/>
        </w:tabs>
        <w:ind w:left="1195" w:hanging="475"/>
      </w:pPr>
      <w:rPr>
        <w:rFonts w:hint="default"/>
      </w:rPr>
    </w:lvl>
    <w:lvl w:ilvl="3">
      <w:start w:val="1"/>
      <w:numFmt w:val="lowerRoman"/>
      <w:lvlText w:val="(%4)"/>
      <w:lvlJc w:val="left"/>
      <w:pPr>
        <w:tabs>
          <w:tab w:val="num" w:pos="1685"/>
        </w:tabs>
        <w:ind w:left="1685" w:hanging="490"/>
      </w:pPr>
      <w:rPr>
        <w:rFonts w:hint="default"/>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num w:numId="1">
    <w:abstractNumId w:val="1"/>
  </w:num>
  <w:num w:numId="2">
    <w:abstractNumId w:val="0"/>
  </w:num>
  <w:num w:numId="3">
    <w:abstractNumId w:val="2"/>
  </w:num>
  <w:num w:numId="4">
    <w:abstractNumId w:val="1"/>
  </w:num>
  <w:num w:numId="5">
    <w:abstractNumId w:val="2"/>
  </w:num>
  <w:num w:numId="6">
    <w:abstractNumId w:val="0"/>
  </w:num>
  <w:num w:numId="7">
    <w:abstractNumId w:val="2"/>
  </w:num>
  <w:num w:numId="8">
    <w:abstractNumId w:val="2"/>
  </w:num>
  <w:num w:numId="9">
    <w:abstractNumId w:val="2"/>
  </w:num>
  <w:num w:numId="10">
    <w:abstractNumId w:val="2"/>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0B2EB7"/>
    <w:rsid w:val="00034AF9"/>
    <w:rsid w:val="000B02C3"/>
    <w:rsid w:val="000B2EB7"/>
    <w:rsid w:val="0010607E"/>
    <w:rsid w:val="001450FA"/>
    <w:rsid w:val="002F3B80"/>
    <w:rsid w:val="00421734"/>
    <w:rsid w:val="004F03A7"/>
    <w:rsid w:val="00564D97"/>
    <w:rsid w:val="00747B12"/>
    <w:rsid w:val="007A796F"/>
    <w:rsid w:val="007E243B"/>
    <w:rsid w:val="00847DD2"/>
    <w:rsid w:val="008620BE"/>
    <w:rsid w:val="008C216C"/>
    <w:rsid w:val="009C0486"/>
    <w:rsid w:val="009F1DB7"/>
    <w:rsid w:val="00A2421F"/>
    <w:rsid w:val="00A664DB"/>
    <w:rsid w:val="00CC31F4"/>
    <w:rsid w:val="00D844C1"/>
    <w:rsid w:val="00EC2B72"/>
    <w:rsid w:val="00F33181"/>
    <w:rsid w:val="00F85A5C"/>
    <w:rsid w:val="00FC4C9D"/>
    <w:rsid w:val="00FD6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36640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qFormat/>
    <w:pPr>
      <w:keepNext/>
      <w:numPr>
        <w:numId w:val="10"/>
      </w:numPr>
      <w:spacing w:after="180"/>
      <w:jc w:val="left"/>
      <w:outlineLvl w:val="0"/>
    </w:pPr>
    <w:rPr>
      <w:rFonts w:ascii="Arial Black" w:hAnsi="Arial Black"/>
      <w:color w:val="333333"/>
      <w:kern w:val="0"/>
      <w:sz w:val="28"/>
      <w:lang w:eastAsia="ja-JP"/>
    </w:rPr>
  </w:style>
  <w:style w:type="paragraph" w:styleId="Heading2">
    <w:name w:val="heading 2"/>
    <w:basedOn w:val="Normal"/>
    <w:next w:val="Text"/>
    <w:qFormat/>
    <w:rsid w:val="004F03A7"/>
    <w:pPr>
      <w:keepNext/>
      <w:jc w:val="left"/>
      <w:outlineLvl w:val="1"/>
    </w:pPr>
    <w:rPr>
      <w:rFonts w:ascii="Arial Black" w:hAnsi="Arial Black"/>
      <w:color w:val="333333"/>
      <w:kern w:val="0"/>
      <w:sz w:val="20"/>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pPr>
      <w:tabs>
        <w:tab w:val="num" w:pos="720"/>
      </w:tabs>
      <w:spacing w:before="120" w:after="12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character" w:customStyle="1" w:styleId="legaddition">
    <w:name w:val="legaddition"/>
    <w:basedOn w:val="DefaultParagraphFont"/>
    <w:rsid w:val="00784EED"/>
    <w:rPr>
      <w:rFonts w:cs="Times New Roman"/>
    </w:rPr>
  </w:style>
  <w:style w:type="paragraph" w:customStyle="1" w:styleId="Byline">
    <w:name w:val="Byline"/>
    <w:basedOn w:val="Heading3"/>
    <w:rsid w:val="004F03A7"/>
    <w:pPr>
      <w:outlineLvl w:val="4"/>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qFormat/>
    <w:pPr>
      <w:keepNext/>
      <w:numPr>
        <w:numId w:val="10"/>
      </w:numPr>
      <w:spacing w:after="180"/>
      <w:jc w:val="left"/>
      <w:outlineLvl w:val="0"/>
    </w:pPr>
    <w:rPr>
      <w:rFonts w:ascii="Arial Black" w:hAnsi="Arial Black"/>
      <w:color w:val="333333"/>
      <w:kern w:val="0"/>
      <w:sz w:val="28"/>
      <w:lang w:eastAsia="ja-JP"/>
    </w:rPr>
  </w:style>
  <w:style w:type="paragraph" w:styleId="Heading2">
    <w:name w:val="heading 2"/>
    <w:basedOn w:val="Normal"/>
    <w:next w:val="Text"/>
    <w:qFormat/>
    <w:rsid w:val="004F03A7"/>
    <w:pPr>
      <w:keepNext/>
      <w:jc w:val="left"/>
      <w:outlineLvl w:val="1"/>
    </w:pPr>
    <w:rPr>
      <w:rFonts w:ascii="Arial Black" w:hAnsi="Arial Black"/>
      <w:color w:val="333333"/>
      <w:kern w:val="0"/>
      <w:sz w:val="20"/>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pPr>
      <w:tabs>
        <w:tab w:val="num" w:pos="720"/>
      </w:tabs>
      <w:spacing w:before="120" w:after="12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character" w:customStyle="1" w:styleId="legaddition">
    <w:name w:val="legaddition"/>
    <w:basedOn w:val="DefaultParagraphFont"/>
    <w:rsid w:val="00784EED"/>
    <w:rPr>
      <w:rFonts w:cs="Times New Roman"/>
    </w:rPr>
  </w:style>
  <w:style w:type="paragraph" w:customStyle="1" w:styleId="Byline">
    <w:name w:val="Byline"/>
    <w:basedOn w:val="Heading3"/>
    <w:rsid w:val="004F03A7"/>
    <w:pPr>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franck:Documents:Projects:Templates: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T2.dotx</Template>
  <TotalTime>70</TotalTime>
  <Pages>2</Pages>
  <Words>771</Words>
  <Characters>4400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Latrémolière (Reckon)</dc:creator>
  <cp:keywords/>
  <dc:description/>
  <cp:lastModifiedBy>Franck Latrémolière (Reckon)</cp:lastModifiedBy>
  <cp:revision>7</cp:revision>
  <cp:lastPrinted>2014-08-05T05:13:00Z</cp:lastPrinted>
  <dcterms:created xsi:type="dcterms:W3CDTF">2014-07-30T20:27:00Z</dcterms:created>
  <dcterms:modified xsi:type="dcterms:W3CDTF">2014-08-05T05:42:00Z</dcterms:modified>
  <cp:category/>
</cp:coreProperties>
</file>